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16" w:rsidRPr="00587F16" w:rsidRDefault="00587F16" w:rsidP="00587F16">
      <w:pPr>
        <w:shd w:val="clear" w:color="auto" w:fill="FFFFFF"/>
        <w:spacing w:after="0" w:line="288" w:lineRule="atLeast"/>
        <w:outlineLvl w:val="1"/>
        <w:rPr>
          <w:rFonts w:ascii="Arial" w:eastAsia="Times New Roman" w:hAnsi="Arial" w:cs="Arial"/>
          <w:sz w:val="60"/>
          <w:szCs w:val="60"/>
        </w:rPr>
      </w:pPr>
      <w:proofErr w:type="spellStart"/>
      <w:r w:rsidRPr="00587F16">
        <w:rPr>
          <w:rFonts w:ascii="Arial" w:eastAsia="Times New Roman" w:hAnsi="Arial" w:cs="Arial"/>
          <w:sz w:val="60"/>
          <w:szCs w:val="60"/>
        </w:rPr>
        <w:t>Ubharte</w:t>
      </w:r>
      <w:proofErr w:type="spellEnd"/>
      <w:r w:rsidRPr="00587F16">
        <w:rPr>
          <w:rFonts w:ascii="Arial" w:eastAsia="Times New Roman" w:hAnsi="Arial" w:cs="Arial"/>
          <w:sz w:val="60"/>
          <w:szCs w:val="60"/>
        </w:rPr>
        <w:t xml:space="preserve"> </w:t>
      </w:r>
      <w:proofErr w:type="spellStart"/>
      <w:r w:rsidRPr="00587F16">
        <w:rPr>
          <w:rFonts w:ascii="Arial" w:eastAsia="Times New Roman" w:hAnsi="Arial" w:cs="Arial"/>
          <w:sz w:val="60"/>
          <w:szCs w:val="60"/>
        </w:rPr>
        <w:t>Sitaare</w:t>
      </w:r>
      <w:proofErr w:type="spellEnd"/>
      <w:r w:rsidRPr="00587F16">
        <w:rPr>
          <w:rFonts w:ascii="Arial" w:eastAsia="Times New Roman" w:hAnsi="Arial" w:cs="Arial"/>
          <w:sz w:val="60"/>
          <w:szCs w:val="60"/>
        </w:rPr>
        <w:t xml:space="preserve"> </w:t>
      </w:r>
      <w:proofErr w:type="spellStart"/>
      <w:r w:rsidRPr="00587F16">
        <w:rPr>
          <w:rFonts w:ascii="Arial" w:eastAsia="Times New Roman" w:hAnsi="Arial" w:cs="Arial"/>
          <w:sz w:val="60"/>
          <w:szCs w:val="60"/>
        </w:rPr>
        <w:t>Programme</w:t>
      </w:r>
      <w:proofErr w:type="spellEnd"/>
    </w:p>
    <w:p w:rsidR="00587F16" w:rsidRPr="00587F16" w:rsidRDefault="00587F16" w:rsidP="00C24A43">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 xml:space="preserve">The </w:t>
      </w:r>
      <w:proofErr w:type="spellStart"/>
      <w:r w:rsidRPr="00587F16">
        <w:rPr>
          <w:rFonts w:ascii="Arial" w:eastAsia="Times New Roman" w:hAnsi="Arial" w:cs="Arial"/>
          <w:sz w:val="24"/>
          <w:szCs w:val="24"/>
        </w:rPr>
        <w:t>Ubharte</w:t>
      </w:r>
      <w:proofErr w:type="spellEnd"/>
      <w:r w:rsidRPr="00587F16">
        <w:rPr>
          <w:rFonts w:ascii="Arial" w:eastAsia="Times New Roman" w:hAnsi="Arial" w:cs="Arial"/>
          <w:sz w:val="24"/>
          <w:szCs w:val="24"/>
        </w:rPr>
        <w:t xml:space="preserve"> </w:t>
      </w:r>
      <w:proofErr w:type="spellStart"/>
      <w:r w:rsidRPr="00587F16">
        <w:rPr>
          <w:rFonts w:ascii="Arial" w:eastAsia="Times New Roman" w:hAnsi="Arial" w:cs="Arial"/>
          <w:sz w:val="24"/>
          <w:szCs w:val="24"/>
        </w:rPr>
        <w:t>Sitaare</w:t>
      </w:r>
      <w:proofErr w:type="spellEnd"/>
      <w:r w:rsidRPr="00587F16">
        <w:rPr>
          <w:rFonts w:ascii="Arial" w:eastAsia="Times New Roman" w:hAnsi="Arial" w:cs="Arial"/>
          <w:sz w:val="24"/>
          <w:szCs w:val="24"/>
        </w:rPr>
        <w:t xml:space="preserve"> </w:t>
      </w:r>
      <w:proofErr w:type="spellStart"/>
      <w:r w:rsidRPr="00587F16">
        <w:rPr>
          <w:rFonts w:ascii="Arial" w:eastAsia="Times New Roman" w:hAnsi="Arial" w:cs="Arial"/>
          <w:sz w:val="24"/>
          <w:szCs w:val="24"/>
        </w:rPr>
        <w:t>Programme</w:t>
      </w:r>
      <w:proofErr w:type="spellEnd"/>
      <w:r w:rsidRPr="00587F16">
        <w:rPr>
          <w:rFonts w:ascii="Arial" w:eastAsia="Times New Roman" w:hAnsi="Arial" w:cs="Arial"/>
          <w:sz w:val="24"/>
          <w:szCs w:val="24"/>
        </w:rPr>
        <w:t xml:space="preserve"> (USP) identifies Indian companies that are future champions with good export potential. An identified company should have potential advantages by way of technology, product or process. It can be supported even if it is currently underperforming or may be unable to tap its latent potential to grow. The </w:t>
      </w:r>
      <w:proofErr w:type="spellStart"/>
      <w:r w:rsidRPr="00587F16">
        <w:rPr>
          <w:rFonts w:ascii="Arial" w:eastAsia="Times New Roman" w:hAnsi="Arial" w:cs="Arial"/>
          <w:sz w:val="24"/>
          <w:szCs w:val="24"/>
        </w:rPr>
        <w:t>Programme</w:t>
      </w:r>
      <w:proofErr w:type="spellEnd"/>
      <w:r w:rsidRPr="00587F16">
        <w:rPr>
          <w:rFonts w:ascii="Arial" w:eastAsia="Times New Roman" w:hAnsi="Arial" w:cs="Arial"/>
          <w:sz w:val="24"/>
          <w:szCs w:val="24"/>
        </w:rPr>
        <w:t xml:space="preserve"> diagnoses such challenges and provides support through a mix of structured support covering equity, debt and technical assistance.</w:t>
      </w:r>
    </w:p>
    <w:p w:rsidR="00587F16" w:rsidRPr="00587F16" w:rsidRDefault="00587F16" w:rsidP="00C24A43">
      <w:pPr>
        <w:shd w:val="clear" w:color="auto" w:fill="FFFFFF"/>
        <w:spacing w:after="0" w:line="240" w:lineRule="auto"/>
        <w:rPr>
          <w:rFonts w:ascii="Arial" w:eastAsia="Times New Roman" w:hAnsi="Arial" w:cs="Arial"/>
          <w:sz w:val="38"/>
          <w:szCs w:val="38"/>
        </w:rPr>
      </w:pPr>
      <w:r w:rsidRPr="00587F16">
        <w:rPr>
          <w:rFonts w:ascii="Arial" w:eastAsia="Times New Roman" w:hAnsi="Arial" w:cs="Arial"/>
          <w:sz w:val="24"/>
          <w:szCs w:val="24"/>
        </w:rPr>
        <w:br/>
      </w:r>
      <w:r w:rsidRPr="00587F16">
        <w:rPr>
          <w:rFonts w:ascii="Arial" w:eastAsia="Times New Roman" w:hAnsi="Arial" w:cs="Arial"/>
          <w:sz w:val="38"/>
          <w:szCs w:val="38"/>
        </w:rPr>
        <w:t xml:space="preserve">Objectives of the </w:t>
      </w:r>
      <w:proofErr w:type="spellStart"/>
      <w:r w:rsidRPr="00587F16">
        <w:rPr>
          <w:rFonts w:ascii="Arial" w:eastAsia="Times New Roman" w:hAnsi="Arial" w:cs="Arial"/>
          <w:sz w:val="38"/>
          <w:szCs w:val="38"/>
        </w:rPr>
        <w:t>Programme</w:t>
      </w:r>
      <w:proofErr w:type="spellEnd"/>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a) To enhance India’s competitiveness in select sectors through finance and extensive handholding support;</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b) To identify and nurture companies having differentiated technology, products or processes, and enhance their export business;</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 xml:space="preserve">c) To assist units with export potential, which are unable to scale up their operations for want of </w:t>
      </w:r>
      <w:proofErr w:type="gramStart"/>
      <w:r w:rsidRPr="00587F16">
        <w:rPr>
          <w:rFonts w:ascii="Arial" w:eastAsia="Times New Roman" w:hAnsi="Arial" w:cs="Arial"/>
          <w:sz w:val="24"/>
          <w:szCs w:val="24"/>
        </w:rPr>
        <w:t>finance;</w:t>
      </w:r>
      <w:proofErr w:type="gramEnd"/>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d) To identify and mitigate challenges faced by successful companies which hinder their exports;</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e) To assist existing exporters in widening their basket of products and target new markets through a strategic and structured export market development initiative.</w:t>
      </w:r>
    </w:p>
    <w:p w:rsidR="00587F16" w:rsidRPr="00587F16" w:rsidRDefault="00587F16" w:rsidP="008D52DB">
      <w:pPr>
        <w:shd w:val="clear" w:color="auto" w:fill="FFFFFF"/>
        <w:spacing w:after="0" w:line="240" w:lineRule="auto"/>
        <w:jc w:val="both"/>
        <w:rPr>
          <w:rFonts w:ascii="Arial" w:eastAsia="Times New Roman" w:hAnsi="Arial" w:cs="Arial"/>
          <w:sz w:val="24"/>
          <w:szCs w:val="24"/>
        </w:rPr>
      </w:pPr>
      <w:r w:rsidRPr="00587F16">
        <w:rPr>
          <w:rFonts w:ascii="Arial" w:eastAsia="Times New Roman" w:hAnsi="Arial" w:cs="Arial"/>
          <w:sz w:val="24"/>
          <w:szCs w:val="24"/>
        </w:rPr>
        <w:br/>
      </w:r>
    </w:p>
    <w:p w:rsidR="00587F16" w:rsidRPr="00587F16" w:rsidRDefault="00587F16" w:rsidP="008D52DB">
      <w:pPr>
        <w:shd w:val="clear" w:color="auto" w:fill="FFFFFF"/>
        <w:spacing w:before="120" w:after="0" w:line="312" w:lineRule="atLeast"/>
        <w:jc w:val="both"/>
        <w:outlineLvl w:val="4"/>
        <w:rPr>
          <w:rFonts w:ascii="Arial" w:eastAsia="Times New Roman" w:hAnsi="Arial" w:cs="Arial"/>
          <w:sz w:val="38"/>
          <w:szCs w:val="38"/>
        </w:rPr>
      </w:pPr>
      <w:r w:rsidRPr="00587F16">
        <w:rPr>
          <w:rFonts w:ascii="Arial" w:eastAsia="Times New Roman" w:hAnsi="Arial" w:cs="Arial"/>
          <w:sz w:val="38"/>
          <w:szCs w:val="38"/>
        </w:rPr>
        <w:t>Nature of assistance</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The Bank can support eligible companies by both financial and advisory services through:</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a) Support by way of equity / equity-like instruments.</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lastRenderedPageBreak/>
        <w:t xml:space="preserve">b) Debt (funded / non-funded): Term loans for </w:t>
      </w:r>
      <w:proofErr w:type="spellStart"/>
      <w:r w:rsidRPr="00587F16">
        <w:rPr>
          <w:rFonts w:ascii="Arial" w:eastAsia="Times New Roman" w:hAnsi="Arial" w:cs="Arial"/>
          <w:sz w:val="24"/>
          <w:szCs w:val="24"/>
        </w:rPr>
        <w:t>modernisation</w:t>
      </w:r>
      <w:proofErr w:type="spellEnd"/>
      <w:r w:rsidRPr="00587F16">
        <w:rPr>
          <w:rFonts w:ascii="Arial" w:eastAsia="Times New Roman" w:hAnsi="Arial" w:cs="Arial"/>
          <w:sz w:val="24"/>
          <w:szCs w:val="24"/>
        </w:rPr>
        <w:t xml:space="preserve">, technology / capacity </w:t>
      </w:r>
      <w:proofErr w:type="spellStart"/>
      <w:r w:rsidRPr="00587F16">
        <w:rPr>
          <w:rFonts w:ascii="Arial" w:eastAsia="Times New Roman" w:hAnsi="Arial" w:cs="Arial"/>
          <w:sz w:val="24"/>
          <w:szCs w:val="24"/>
        </w:rPr>
        <w:t>upgradation</w:t>
      </w:r>
      <w:proofErr w:type="spellEnd"/>
      <w:r w:rsidRPr="00587F16">
        <w:rPr>
          <w:rFonts w:ascii="Arial" w:eastAsia="Times New Roman" w:hAnsi="Arial" w:cs="Arial"/>
          <w:sz w:val="24"/>
          <w:szCs w:val="24"/>
        </w:rPr>
        <w:t>, R&amp;D and balancing of production facilities by investment in activities such as:</w:t>
      </w:r>
    </w:p>
    <w:p w:rsidR="00587F16" w:rsidRPr="00587F16" w:rsidRDefault="00587F16" w:rsidP="008D52DB">
      <w:pPr>
        <w:numPr>
          <w:ilvl w:val="0"/>
          <w:numId w:val="1"/>
        </w:numPr>
        <w:shd w:val="clear" w:color="auto" w:fill="FFFFFF"/>
        <w:spacing w:after="0" w:line="384" w:lineRule="atLeast"/>
        <w:ind w:left="0"/>
        <w:jc w:val="both"/>
        <w:rPr>
          <w:rFonts w:ascii="Arial" w:eastAsia="Times New Roman" w:hAnsi="Arial" w:cs="Arial"/>
          <w:sz w:val="24"/>
          <w:szCs w:val="24"/>
        </w:rPr>
      </w:pPr>
      <w:r w:rsidRPr="00587F16">
        <w:rPr>
          <w:rFonts w:ascii="Arial" w:eastAsia="Times New Roman" w:hAnsi="Arial" w:cs="Arial"/>
          <w:sz w:val="24"/>
          <w:szCs w:val="24"/>
        </w:rPr>
        <w:t>Machinery and equipment;</w:t>
      </w:r>
    </w:p>
    <w:p w:rsidR="00587F16" w:rsidRPr="00587F16" w:rsidRDefault="00587F16" w:rsidP="008D52DB">
      <w:pPr>
        <w:numPr>
          <w:ilvl w:val="0"/>
          <w:numId w:val="1"/>
        </w:numPr>
        <w:shd w:val="clear" w:color="auto" w:fill="FFFFFF"/>
        <w:spacing w:after="0" w:line="384" w:lineRule="atLeast"/>
        <w:ind w:left="0"/>
        <w:jc w:val="both"/>
        <w:rPr>
          <w:rFonts w:ascii="Arial" w:eastAsia="Times New Roman" w:hAnsi="Arial" w:cs="Arial"/>
          <w:sz w:val="24"/>
          <w:szCs w:val="24"/>
        </w:rPr>
      </w:pPr>
      <w:r w:rsidRPr="00587F16">
        <w:rPr>
          <w:rFonts w:ascii="Arial" w:eastAsia="Times New Roman" w:hAnsi="Arial" w:cs="Arial"/>
          <w:sz w:val="24"/>
          <w:szCs w:val="24"/>
        </w:rPr>
        <w:t>Tools, jigs and fixtures;</w:t>
      </w:r>
    </w:p>
    <w:p w:rsidR="00587F16" w:rsidRPr="00587F16" w:rsidRDefault="00587F16" w:rsidP="008D52DB">
      <w:pPr>
        <w:numPr>
          <w:ilvl w:val="0"/>
          <w:numId w:val="1"/>
        </w:numPr>
        <w:shd w:val="clear" w:color="auto" w:fill="FFFFFF"/>
        <w:spacing w:after="0" w:line="384" w:lineRule="atLeast"/>
        <w:ind w:left="0"/>
        <w:jc w:val="both"/>
        <w:rPr>
          <w:rFonts w:ascii="Arial" w:eastAsia="Times New Roman" w:hAnsi="Arial" w:cs="Arial"/>
          <w:sz w:val="24"/>
          <w:szCs w:val="24"/>
        </w:rPr>
      </w:pPr>
      <w:r w:rsidRPr="00587F16">
        <w:rPr>
          <w:rFonts w:ascii="Arial" w:eastAsia="Times New Roman" w:hAnsi="Arial" w:cs="Arial"/>
          <w:sz w:val="24"/>
          <w:szCs w:val="24"/>
        </w:rPr>
        <w:t>Testing / quality control equipment;</w:t>
      </w:r>
    </w:p>
    <w:p w:rsidR="00587F16" w:rsidRPr="00587F16" w:rsidRDefault="00587F16" w:rsidP="008D52DB">
      <w:pPr>
        <w:numPr>
          <w:ilvl w:val="0"/>
          <w:numId w:val="1"/>
        </w:numPr>
        <w:shd w:val="clear" w:color="auto" w:fill="FFFFFF"/>
        <w:spacing w:after="0" w:line="384" w:lineRule="atLeast"/>
        <w:ind w:left="0"/>
        <w:jc w:val="both"/>
        <w:rPr>
          <w:rFonts w:ascii="Arial" w:eastAsia="Times New Roman" w:hAnsi="Arial" w:cs="Arial"/>
          <w:sz w:val="24"/>
          <w:szCs w:val="24"/>
        </w:rPr>
      </w:pPr>
      <w:r w:rsidRPr="00587F16">
        <w:rPr>
          <w:rFonts w:ascii="Arial" w:eastAsia="Times New Roman" w:hAnsi="Arial" w:cs="Arial"/>
          <w:sz w:val="24"/>
          <w:szCs w:val="24"/>
        </w:rPr>
        <w:t>Land and building.</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c) Technical Assistance (TA) for product adaptation and improvement, cost of certifications, training expenses, market development activities including overseas travel for product/market development, studies relating to sectors, markets, regulations, Techno Economic Viability (TEV) study, etc.</w:t>
      </w:r>
    </w:p>
    <w:p w:rsidR="00587F16" w:rsidRPr="00587F16" w:rsidRDefault="00587F16" w:rsidP="008D52DB">
      <w:pPr>
        <w:shd w:val="clear" w:color="auto" w:fill="FFFFFF"/>
        <w:spacing w:after="0" w:line="240" w:lineRule="auto"/>
        <w:rPr>
          <w:rFonts w:ascii="Arial" w:eastAsia="Times New Roman" w:hAnsi="Arial" w:cs="Arial"/>
          <w:sz w:val="38"/>
          <w:szCs w:val="38"/>
        </w:rPr>
      </w:pPr>
      <w:r w:rsidRPr="00587F16">
        <w:rPr>
          <w:rFonts w:ascii="Arial" w:eastAsia="Times New Roman" w:hAnsi="Arial" w:cs="Arial"/>
          <w:sz w:val="24"/>
          <w:szCs w:val="24"/>
        </w:rPr>
        <w:br/>
      </w:r>
      <w:r w:rsidRPr="00587F16">
        <w:rPr>
          <w:rFonts w:ascii="Arial" w:eastAsia="Times New Roman" w:hAnsi="Arial" w:cs="Arial"/>
          <w:sz w:val="38"/>
          <w:szCs w:val="38"/>
        </w:rPr>
        <w:t>Eligibility</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a) Companies with unique value proposition in technology, products or processes that match global requirements.</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b) Fundamentally strong companies with acceptable financials, and outward orientation.</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 xml:space="preserve">c) Small and mid-sized companies with ability to penetrate global markets, with an annual turnover of up to approx. INR 500 </w:t>
      </w:r>
      <w:proofErr w:type="spellStart"/>
      <w:r w:rsidRPr="00587F16">
        <w:rPr>
          <w:rFonts w:ascii="Arial" w:eastAsia="Times New Roman" w:hAnsi="Arial" w:cs="Arial"/>
          <w:sz w:val="24"/>
          <w:szCs w:val="24"/>
        </w:rPr>
        <w:t>crore</w:t>
      </w:r>
      <w:proofErr w:type="spellEnd"/>
      <w:r w:rsidRPr="00587F16">
        <w:rPr>
          <w:rFonts w:ascii="Arial" w:eastAsia="Times New Roman" w:hAnsi="Arial" w:cs="Arial"/>
          <w:sz w:val="24"/>
          <w:szCs w:val="24"/>
        </w:rPr>
        <w:t>.</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d) Companies with a good business model, strong management capabilities, and focus on product quality.</w:t>
      </w:r>
    </w:p>
    <w:p w:rsidR="00587F16" w:rsidRPr="00587F16" w:rsidRDefault="00587F16" w:rsidP="008D52DB">
      <w:pPr>
        <w:shd w:val="clear" w:color="auto" w:fill="FFFFFF"/>
        <w:spacing w:before="360" w:after="0" w:line="384" w:lineRule="atLeast"/>
        <w:jc w:val="both"/>
        <w:rPr>
          <w:rFonts w:ascii="Arial" w:eastAsia="Times New Roman" w:hAnsi="Arial" w:cs="Arial"/>
          <w:sz w:val="24"/>
          <w:szCs w:val="24"/>
        </w:rPr>
      </w:pPr>
      <w:r w:rsidRPr="00587F16">
        <w:rPr>
          <w:rFonts w:ascii="Arial" w:eastAsia="Times New Roman" w:hAnsi="Arial" w:cs="Arial"/>
          <w:sz w:val="24"/>
          <w:szCs w:val="24"/>
        </w:rPr>
        <w:t xml:space="preserve">e) Indicative Sectors: Automobiles and Auto components, Aerospace, Capital Goods, Chemicals, </w:t>
      </w:r>
      <w:proofErr w:type="spellStart"/>
      <w:r w:rsidRPr="00587F16">
        <w:rPr>
          <w:rFonts w:ascii="Arial" w:eastAsia="Times New Roman" w:hAnsi="Arial" w:cs="Arial"/>
          <w:sz w:val="24"/>
          <w:szCs w:val="24"/>
        </w:rPr>
        <w:t>Defence</w:t>
      </w:r>
      <w:proofErr w:type="spellEnd"/>
      <w:r w:rsidRPr="00587F16">
        <w:rPr>
          <w:rFonts w:ascii="Arial" w:eastAsia="Times New Roman" w:hAnsi="Arial" w:cs="Arial"/>
          <w:sz w:val="24"/>
          <w:szCs w:val="24"/>
        </w:rPr>
        <w:t xml:space="preserve">, Food Processing, IT &amp; </w:t>
      </w:r>
      <w:proofErr w:type="spellStart"/>
      <w:r w:rsidRPr="00587F16">
        <w:rPr>
          <w:rFonts w:ascii="Arial" w:eastAsia="Times New Roman" w:hAnsi="Arial" w:cs="Arial"/>
          <w:sz w:val="24"/>
          <w:szCs w:val="24"/>
        </w:rPr>
        <w:t>ITeS</w:t>
      </w:r>
      <w:proofErr w:type="spellEnd"/>
      <w:r w:rsidRPr="00587F16">
        <w:rPr>
          <w:rFonts w:ascii="Arial" w:eastAsia="Times New Roman" w:hAnsi="Arial" w:cs="Arial"/>
          <w:sz w:val="24"/>
          <w:szCs w:val="24"/>
        </w:rPr>
        <w:t>, Machinery, Pharmaceuticals, Precision engineering, Textiles and allied sectors.</w:t>
      </w:r>
    </w:p>
    <w:p w:rsidR="00587F16" w:rsidRPr="00587F16" w:rsidRDefault="00587F16" w:rsidP="00E04644">
      <w:pPr>
        <w:shd w:val="clear" w:color="auto" w:fill="FFFFFF"/>
        <w:spacing w:after="0" w:line="240" w:lineRule="auto"/>
        <w:rPr>
          <w:rFonts w:ascii="Arial" w:eastAsia="Times New Roman" w:hAnsi="Arial" w:cs="Arial"/>
          <w:sz w:val="24"/>
          <w:szCs w:val="24"/>
        </w:rPr>
      </w:pPr>
      <w:r w:rsidRPr="00587F16">
        <w:rPr>
          <w:rFonts w:ascii="Arial" w:eastAsia="Times New Roman" w:hAnsi="Arial" w:cs="Arial"/>
          <w:sz w:val="24"/>
          <w:szCs w:val="24"/>
        </w:rPr>
        <w:br/>
        <w:t>For further details, interested companies may write to </w:t>
      </w:r>
      <w:hyperlink r:id="rId5" w:tgtFrame="_blank" w:history="1">
        <w:r w:rsidRPr="00E04644">
          <w:rPr>
            <w:rFonts w:ascii="Arial" w:eastAsia="Times New Roman" w:hAnsi="Arial" w:cs="Arial"/>
            <w:sz w:val="24"/>
            <w:szCs w:val="24"/>
            <w:u w:val="single"/>
          </w:rPr>
          <w:t>seed@eximbankindia.in</w:t>
        </w:r>
      </w:hyperlink>
      <w:r w:rsidRPr="00587F16">
        <w:rPr>
          <w:rFonts w:ascii="Arial" w:eastAsia="Times New Roman" w:hAnsi="Arial" w:cs="Arial"/>
          <w:sz w:val="24"/>
          <w:szCs w:val="24"/>
        </w:rPr>
        <w:br/>
        <w:t>Telephone: +91-22-22172600 / +91-11-24607700</w:t>
      </w:r>
    </w:p>
    <w:p w:rsidR="003067CB" w:rsidRPr="00E04644" w:rsidRDefault="008D52DB"/>
    <w:sectPr w:rsidR="003067CB" w:rsidRPr="00E04644" w:rsidSect="00E04644">
      <w:pgSz w:w="12240" w:h="15840"/>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438F"/>
    <w:multiLevelType w:val="multilevel"/>
    <w:tmpl w:val="0326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F16"/>
    <w:rsid w:val="00587F16"/>
    <w:rsid w:val="008D52DB"/>
    <w:rsid w:val="0094128E"/>
    <w:rsid w:val="00A814CE"/>
    <w:rsid w:val="00C24A43"/>
    <w:rsid w:val="00E04644"/>
    <w:rsid w:val="00FC0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CE"/>
  </w:style>
  <w:style w:type="paragraph" w:styleId="Heading2">
    <w:name w:val="heading 2"/>
    <w:basedOn w:val="Normal"/>
    <w:link w:val="Heading2Char"/>
    <w:uiPriority w:val="9"/>
    <w:qFormat/>
    <w:rsid w:val="00587F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87F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F1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87F1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87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F16"/>
    <w:rPr>
      <w:color w:val="0000FF"/>
      <w:u w:val="single"/>
    </w:rPr>
  </w:style>
</w:styles>
</file>

<file path=word/webSettings.xml><?xml version="1.0" encoding="utf-8"?>
<w:webSettings xmlns:r="http://schemas.openxmlformats.org/officeDocument/2006/relationships" xmlns:w="http://schemas.openxmlformats.org/wordprocessingml/2006/main">
  <w:divs>
    <w:div w:id="721710966">
      <w:bodyDiv w:val="1"/>
      <w:marLeft w:val="0"/>
      <w:marRight w:val="0"/>
      <w:marTop w:val="0"/>
      <w:marBottom w:val="0"/>
      <w:divBdr>
        <w:top w:val="none" w:sz="0" w:space="0" w:color="auto"/>
        <w:left w:val="none" w:sz="0" w:space="0" w:color="auto"/>
        <w:bottom w:val="none" w:sz="0" w:space="0" w:color="auto"/>
        <w:right w:val="none" w:sz="0" w:space="0" w:color="auto"/>
      </w:divBdr>
      <w:divsChild>
        <w:div w:id="1129741542">
          <w:marLeft w:val="0"/>
          <w:marRight w:val="0"/>
          <w:marTop w:val="0"/>
          <w:marBottom w:val="0"/>
          <w:divBdr>
            <w:top w:val="none" w:sz="0" w:space="0" w:color="auto"/>
            <w:left w:val="none" w:sz="0" w:space="0" w:color="auto"/>
            <w:bottom w:val="none" w:sz="0" w:space="0" w:color="auto"/>
            <w:right w:val="none" w:sz="0" w:space="0" w:color="auto"/>
          </w:divBdr>
          <w:divsChild>
            <w:div w:id="1258827454">
              <w:marLeft w:val="0"/>
              <w:marRight w:val="0"/>
              <w:marTop w:val="0"/>
              <w:marBottom w:val="0"/>
              <w:divBdr>
                <w:top w:val="none" w:sz="0" w:space="0" w:color="auto"/>
                <w:left w:val="none" w:sz="0" w:space="0" w:color="auto"/>
                <w:bottom w:val="none" w:sz="0" w:space="0" w:color="auto"/>
                <w:right w:val="none" w:sz="0" w:space="0" w:color="auto"/>
              </w:divBdr>
            </w:div>
          </w:divsChild>
        </w:div>
        <w:div w:id="1574005702">
          <w:marLeft w:val="0"/>
          <w:marRight w:val="0"/>
          <w:marTop w:val="0"/>
          <w:marBottom w:val="0"/>
          <w:divBdr>
            <w:top w:val="none" w:sz="0" w:space="0" w:color="auto"/>
            <w:left w:val="none" w:sz="0" w:space="0" w:color="auto"/>
            <w:bottom w:val="none" w:sz="0" w:space="0" w:color="auto"/>
            <w:right w:val="none" w:sz="0" w:space="0" w:color="auto"/>
          </w:divBdr>
          <w:divsChild>
            <w:div w:id="1355888593">
              <w:marLeft w:val="0"/>
              <w:marRight w:val="0"/>
              <w:marTop w:val="0"/>
              <w:marBottom w:val="0"/>
              <w:divBdr>
                <w:top w:val="none" w:sz="0" w:space="0" w:color="auto"/>
                <w:left w:val="none" w:sz="0" w:space="0" w:color="auto"/>
                <w:bottom w:val="none" w:sz="0" w:space="0" w:color="auto"/>
                <w:right w:val="none" w:sz="0" w:space="0" w:color="auto"/>
              </w:divBdr>
              <w:divsChild>
                <w:div w:id="6956952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imbankindia.in/seed@eximbankindi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dc:creator>
  <cp:lastModifiedBy>Gokul</cp:lastModifiedBy>
  <cp:revision>4</cp:revision>
  <dcterms:created xsi:type="dcterms:W3CDTF">2021-08-24T10:34:00Z</dcterms:created>
  <dcterms:modified xsi:type="dcterms:W3CDTF">2021-08-24T10:36:00Z</dcterms:modified>
</cp:coreProperties>
</file>