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750" w:rsidRPr="00125750" w:rsidRDefault="00125750" w:rsidP="00125750">
      <w:pPr>
        <w:spacing w:after="0" w:line="300" w:lineRule="auto"/>
        <w:ind w:left="720" w:right="1365"/>
        <w:jc w:val="right"/>
        <w:rPr>
          <w:rFonts w:ascii="Arial" w:eastAsia="Times New Roman" w:hAnsi="Arial" w:cs="Arial"/>
          <w:b/>
          <w:sz w:val="20"/>
          <w:szCs w:val="20"/>
          <w:lang w:val="en-US" w:eastAsia="en-IN"/>
        </w:rPr>
      </w:pPr>
      <w:r w:rsidRPr="00125750">
        <w:rPr>
          <w:rFonts w:ascii="Arial" w:eastAsia="Times New Roman" w:hAnsi="Arial" w:cs="Arial"/>
          <w:b/>
          <w:sz w:val="20"/>
          <w:szCs w:val="20"/>
          <w:lang w:eastAsia="en-IN"/>
        </w:rPr>
        <w:t>C</w:t>
      </w:r>
      <w:r w:rsidRPr="00125750">
        <w:rPr>
          <w:rFonts w:ascii="Arial" w:eastAsia="Times New Roman" w:hAnsi="Arial" w:cs="Arial"/>
          <w:b/>
          <w:bCs/>
          <w:sz w:val="20"/>
          <w:szCs w:val="20"/>
          <w:lang w:eastAsia="en-IN"/>
        </w:rPr>
        <w:t>ircular No. 15/2015-Customs</w:t>
      </w:r>
    </w:p>
    <w:p w:rsidR="00125750" w:rsidRPr="00125750" w:rsidRDefault="00125750" w:rsidP="00125750">
      <w:pPr>
        <w:spacing w:after="0" w:line="300" w:lineRule="auto"/>
        <w:ind w:left="720" w:right="1365"/>
        <w:jc w:val="center"/>
        <w:rPr>
          <w:rFonts w:ascii="Arial" w:eastAsia="Times New Roman" w:hAnsi="Arial" w:cs="Arial"/>
          <w:sz w:val="20"/>
          <w:szCs w:val="20"/>
          <w:lang w:eastAsia="en-IN"/>
        </w:rPr>
      </w:pPr>
      <w:proofErr w:type="gramStart"/>
      <w:r w:rsidRPr="00125750">
        <w:rPr>
          <w:rFonts w:ascii="Arial" w:eastAsia="Times New Roman" w:hAnsi="Arial" w:cs="Arial"/>
          <w:sz w:val="20"/>
          <w:szCs w:val="20"/>
          <w:lang w:eastAsia="en-IN"/>
        </w:rPr>
        <w:t>F. No. 450/25/2013-Cus IV (Pt.)</w:t>
      </w:r>
      <w:proofErr w:type="gramEnd"/>
    </w:p>
    <w:p w:rsidR="00125750" w:rsidRPr="00125750" w:rsidRDefault="00125750" w:rsidP="00125750">
      <w:pPr>
        <w:spacing w:after="0" w:line="300" w:lineRule="auto"/>
        <w:ind w:left="720" w:right="1365"/>
        <w:jc w:val="center"/>
        <w:rPr>
          <w:rFonts w:ascii="Arial" w:eastAsia="Times New Roman" w:hAnsi="Arial" w:cs="Arial"/>
          <w:sz w:val="20"/>
          <w:szCs w:val="20"/>
          <w:lang w:eastAsia="en-IN"/>
        </w:rPr>
      </w:pPr>
      <w:r w:rsidRPr="00125750">
        <w:rPr>
          <w:rFonts w:ascii="Arial" w:eastAsia="Times New Roman" w:hAnsi="Arial" w:cs="Arial"/>
          <w:sz w:val="20"/>
          <w:szCs w:val="20"/>
          <w:lang w:eastAsia="en-IN"/>
        </w:rPr>
        <w:t>Government of India</w:t>
      </w:r>
      <w:r w:rsidRPr="00125750">
        <w:rPr>
          <w:rFonts w:ascii="Arial" w:eastAsia="Times New Roman" w:hAnsi="Arial" w:cs="Arial"/>
          <w:sz w:val="20"/>
          <w:szCs w:val="20"/>
          <w:lang w:eastAsia="en-IN"/>
        </w:rPr>
        <w:br/>
        <w:t>Ministry of Finance</w:t>
      </w:r>
      <w:r w:rsidRPr="00125750">
        <w:rPr>
          <w:rFonts w:ascii="Arial" w:eastAsia="Times New Roman" w:hAnsi="Arial" w:cs="Arial"/>
          <w:sz w:val="20"/>
          <w:szCs w:val="20"/>
          <w:lang w:eastAsia="en-IN"/>
        </w:rPr>
        <w:br/>
        <w:t xml:space="preserve">Department of Revenue </w:t>
      </w:r>
      <w:r w:rsidRPr="00125750">
        <w:rPr>
          <w:rFonts w:ascii="Arial" w:eastAsia="Times New Roman" w:hAnsi="Arial" w:cs="Arial"/>
          <w:sz w:val="20"/>
          <w:szCs w:val="20"/>
          <w:lang w:eastAsia="en-IN"/>
        </w:rPr>
        <w:br/>
        <w:t>(Central Board of Excise and Customs)</w:t>
      </w:r>
    </w:p>
    <w:p w:rsidR="00125750" w:rsidRPr="00125750" w:rsidRDefault="00125750" w:rsidP="00125750">
      <w:pPr>
        <w:spacing w:after="0" w:line="300" w:lineRule="auto"/>
        <w:ind w:left="720" w:right="1365"/>
        <w:jc w:val="center"/>
        <w:rPr>
          <w:rFonts w:ascii="Arial" w:eastAsia="Times New Roman" w:hAnsi="Arial" w:cs="Arial"/>
          <w:sz w:val="20"/>
          <w:szCs w:val="20"/>
          <w:lang w:val="en-US" w:eastAsia="en-IN"/>
        </w:rPr>
      </w:pPr>
      <w:r w:rsidRPr="00125750">
        <w:rPr>
          <w:rFonts w:ascii="Arial" w:eastAsia="Times New Roman" w:hAnsi="Arial" w:cs="Arial"/>
          <w:sz w:val="20"/>
          <w:szCs w:val="20"/>
          <w:lang w:eastAsia="en-IN"/>
        </w:rPr>
        <w:t>****</w:t>
      </w:r>
    </w:p>
    <w:p w:rsidR="00125750" w:rsidRPr="00125750" w:rsidRDefault="00125750" w:rsidP="00125750">
      <w:pPr>
        <w:spacing w:after="0" w:line="300" w:lineRule="auto"/>
        <w:ind w:left="720" w:right="1365"/>
        <w:jc w:val="right"/>
        <w:rPr>
          <w:rFonts w:ascii="Arial" w:eastAsia="Times New Roman" w:hAnsi="Arial" w:cs="Arial"/>
          <w:sz w:val="20"/>
          <w:szCs w:val="20"/>
          <w:lang w:eastAsia="en-IN"/>
        </w:rPr>
      </w:pPr>
      <w:proofErr w:type="gramStart"/>
      <w:r w:rsidRPr="00125750">
        <w:rPr>
          <w:rFonts w:ascii="Arial" w:eastAsia="Times New Roman" w:hAnsi="Arial" w:cs="Arial"/>
          <w:sz w:val="20"/>
          <w:szCs w:val="20"/>
          <w:lang w:eastAsia="en-IN"/>
        </w:rPr>
        <w:t>New Delhi, dated 18.05.2015.</w:t>
      </w:r>
      <w:proofErr w:type="gramEnd"/>
    </w:p>
    <w:p w:rsidR="00125750" w:rsidRPr="00125750" w:rsidRDefault="00125750" w:rsidP="00125750">
      <w:pPr>
        <w:spacing w:after="0" w:line="300" w:lineRule="auto"/>
        <w:ind w:left="720" w:right="1365"/>
        <w:rPr>
          <w:rFonts w:ascii="Arial" w:eastAsia="Times New Roman" w:hAnsi="Arial" w:cs="Arial"/>
          <w:sz w:val="20"/>
          <w:szCs w:val="20"/>
          <w:lang w:eastAsia="en-IN"/>
        </w:rPr>
      </w:pPr>
      <w:r w:rsidRPr="00125750">
        <w:rPr>
          <w:rFonts w:ascii="Arial" w:eastAsia="Times New Roman" w:hAnsi="Arial" w:cs="Arial"/>
          <w:sz w:val="20"/>
          <w:szCs w:val="20"/>
          <w:lang w:eastAsia="en-IN"/>
        </w:rPr>
        <w:t xml:space="preserve">To, </w:t>
      </w:r>
    </w:p>
    <w:p w:rsidR="00125750" w:rsidRPr="00125750" w:rsidRDefault="00125750" w:rsidP="00125750">
      <w:pPr>
        <w:spacing w:after="0" w:line="300" w:lineRule="auto"/>
        <w:ind w:left="720" w:right="1365"/>
        <w:rPr>
          <w:rFonts w:ascii="Arial" w:eastAsia="Times New Roman" w:hAnsi="Arial" w:cs="Arial"/>
          <w:sz w:val="20"/>
          <w:szCs w:val="20"/>
          <w:lang w:eastAsia="en-IN"/>
        </w:rPr>
      </w:pPr>
      <w:r w:rsidRPr="00125750">
        <w:rPr>
          <w:rFonts w:ascii="Arial" w:eastAsia="Times New Roman" w:hAnsi="Arial" w:cs="Arial"/>
          <w:sz w:val="20"/>
          <w:szCs w:val="20"/>
          <w:lang w:eastAsia="en-IN"/>
        </w:rPr>
        <w:t xml:space="preserve">All Chief Commissioners of Customs / Customs (Preventive) </w:t>
      </w:r>
    </w:p>
    <w:p w:rsidR="00125750" w:rsidRPr="00125750" w:rsidRDefault="00125750" w:rsidP="00125750">
      <w:pPr>
        <w:spacing w:after="0" w:line="300" w:lineRule="auto"/>
        <w:ind w:left="720" w:right="1365"/>
        <w:rPr>
          <w:rFonts w:ascii="Arial" w:eastAsia="Times New Roman" w:hAnsi="Arial" w:cs="Arial"/>
          <w:sz w:val="20"/>
          <w:szCs w:val="20"/>
          <w:lang w:eastAsia="en-IN"/>
        </w:rPr>
      </w:pPr>
      <w:r w:rsidRPr="00125750">
        <w:rPr>
          <w:rFonts w:ascii="Arial" w:eastAsia="Times New Roman" w:hAnsi="Arial" w:cs="Arial"/>
          <w:sz w:val="20"/>
          <w:szCs w:val="20"/>
          <w:lang w:eastAsia="en-IN"/>
        </w:rPr>
        <w:t xml:space="preserve">All Chief Commissioners of Customs and Central Excise </w:t>
      </w:r>
    </w:p>
    <w:p w:rsidR="00125750" w:rsidRPr="00125750" w:rsidRDefault="00125750" w:rsidP="00125750">
      <w:pPr>
        <w:spacing w:after="0" w:line="300" w:lineRule="auto"/>
        <w:ind w:left="720" w:right="1365"/>
        <w:rPr>
          <w:rFonts w:ascii="Arial" w:eastAsia="Times New Roman" w:hAnsi="Arial" w:cs="Arial"/>
          <w:sz w:val="20"/>
          <w:szCs w:val="20"/>
          <w:lang w:eastAsia="en-IN"/>
        </w:rPr>
      </w:pPr>
      <w:r w:rsidRPr="00125750">
        <w:rPr>
          <w:rFonts w:ascii="Arial" w:eastAsia="Times New Roman" w:hAnsi="Arial" w:cs="Arial"/>
          <w:sz w:val="20"/>
          <w:szCs w:val="20"/>
          <w:lang w:eastAsia="en-IN"/>
        </w:rPr>
        <w:t xml:space="preserve">All Commissioners of Customs / Customs (Preventive) </w:t>
      </w:r>
    </w:p>
    <w:p w:rsidR="00125750" w:rsidRPr="00125750" w:rsidRDefault="00125750" w:rsidP="00125750">
      <w:pPr>
        <w:spacing w:after="0" w:line="300" w:lineRule="auto"/>
        <w:ind w:left="720" w:right="1365"/>
        <w:rPr>
          <w:rFonts w:ascii="Arial" w:eastAsia="Times New Roman" w:hAnsi="Arial" w:cs="Arial"/>
          <w:sz w:val="20"/>
          <w:szCs w:val="20"/>
          <w:lang w:eastAsia="en-IN"/>
        </w:rPr>
      </w:pPr>
      <w:r w:rsidRPr="00125750">
        <w:rPr>
          <w:rFonts w:ascii="Arial" w:eastAsia="Times New Roman" w:hAnsi="Arial" w:cs="Arial"/>
          <w:sz w:val="20"/>
          <w:szCs w:val="20"/>
          <w:lang w:eastAsia="en-IN"/>
        </w:rPr>
        <w:t xml:space="preserve">All Commissioners of Customs and Central Excise </w:t>
      </w:r>
    </w:p>
    <w:p w:rsidR="00125750" w:rsidRPr="00125750" w:rsidRDefault="00125750" w:rsidP="00125750">
      <w:pPr>
        <w:spacing w:beforeLines="60" w:afterLines="60" w:line="300" w:lineRule="auto"/>
        <w:ind w:left="720" w:right="1365"/>
        <w:rPr>
          <w:rFonts w:ascii="Arial" w:eastAsia="Times New Roman" w:hAnsi="Arial" w:cs="Arial"/>
          <w:sz w:val="20"/>
          <w:szCs w:val="20"/>
          <w:lang w:eastAsia="en-IN"/>
        </w:rPr>
      </w:pPr>
      <w:r w:rsidRPr="00125750">
        <w:rPr>
          <w:rFonts w:ascii="Arial" w:eastAsia="Times New Roman" w:hAnsi="Arial" w:cs="Arial"/>
          <w:sz w:val="20"/>
          <w:szCs w:val="20"/>
          <w:lang w:eastAsia="en-IN"/>
        </w:rPr>
        <w:t xml:space="preserve">Sir /Madam  </w:t>
      </w:r>
    </w:p>
    <w:p w:rsidR="00125750" w:rsidRPr="00125750" w:rsidRDefault="00125750" w:rsidP="00125750">
      <w:pPr>
        <w:tabs>
          <w:tab w:val="left" w:pos="0"/>
        </w:tabs>
        <w:spacing w:beforeLines="60" w:afterLines="60" w:line="300" w:lineRule="auto"/>
        <w:ind w:left="720" w:right="1365"/>
        <w:jc w:val="both"/>
        <w:rPr>
          <w:rFonts w:ascii="Arial" w:eastAsia="Times New Roman" w:hAnsi="Arial" w:cs="Arial"/>
          <w:b/>
          <w:bCs/>
          <w:color w:val="000000"/>
          <w:sz w:val="20"/>
          <w:szCs w:val="20"/>
          <w:lang w:eastAsia="en-IN"/>
        </w:rPr>
      </w:pPr>
      <w:r w:rsidRPr="00125750">
        <w:rPr>
          <w:rFonts w:ascii="Arial" w:eastAsia="Times New Roman" w:hAnsi="Arial" w:cs="Arial"/>
          <w:b/>
          <w:bCs/>
          <w:color w:val="000000"/>
          <w:sz w:val="20"/>
          <w:szCs w:val="20"/>
          <w:lang w:eastAsia="en-IN"/>
        </w:rPr>
        <w:t xml:space="preserve">Subject: Dispensing with SDF </w:t>
      </w:r>
      <w:proofErr w:type="gramStart"/>
      <w:r w:rsidRPr="00125750">
        <w:rPr>
          <w:rFonts w:ascii="Arial" w:eastAsia="Times New Roman" w:hAnsi="Arial" w:cs="Arial"/>
          <w:b/>
          <w:bCs/>
          <w:color w:val="000000"/>
          <w:sz w:val="20"/>
          <w:szCs w:val="20"/>
          <w:lang w:eastAsia="en-IN"/>
        </w:rPr>
        <w:t>form  -</w:t>
      </w:r>
      <w:proofErr w:type="gramEnd"/>
      <w:r w:rsidRPr="00125750">
        <w:rPr>
          <w:rFonts w:ascii="Arial" w:eastAsia="Times New Roman" w:hAnsi="Arial" w:cs="Arial"/>
          <w:b/>
          <w:bCs/>
          <w:color w:val="000000"/>
          <w:sz w:val="20"/>
          <w:szCs w:val="20"/>
          <w:lang w:eastAsia="en-IN"/>
        </w:rPr>
        <w:t xml:space="preserve"> reg.</w:t>
      </w:r>
    </w:p>
    <w:p w:rsidR="00125750" w:rsidRPr="00125750" w:rsidRDefault="00125750" w:rsidP="00125750">
      <w:pPr>
        <w:tabs>
          <w:tab w:val="left" w:pos="720"/>
        </w:tabs>
        <w:spacing w:beforeLines="60" w:afterLines="60"/>
        <w:ind w:left="720" w:right="1365"/>
        <w:jc w:val="both"/>
        <w:rPr>
          <w:rFonts w:ascii="Arial" w:eastAsia="Times New Roman" w:hAnsi="Arial" w:cs="Arial"/>
          <w:color w:val="000000"/>
          <w:sz w:val="20"/>
          <w:szCs w:val="20"/>
          <w:lang w:eastAsia="en-IN"/>
        </w:rPr>
      </w:pPr>
      <w:r w:rsidRPr="00125750">
        <w:rPr>
          <w:rFonts w:ascii="Arial" w:eastAsia="Times New Roman" w:hAnsi="Arial" w:cs="Arial"/>
          <w:color w:val="000000"/>
          <w:sz w:val="20"/>
          <w:szCs w:val="20"/>
          <w:lang w:eastAsia="en-IN"/>
        </w:rPr>
        <w:tab/>
        <w:t xml:space="preserve">Government has taken number of measures to enhance the ease of doing business. In this direction, a Committee constituted by Ministry of Commerce and Industry has also recommended the reduction of documents for import and export of goods in order to reduce transaction cost. </w:t>
      </w:r>
    </w:p>
    <w:p w:rsidR="00125750" w:rsidRPr="00125750" w:rsidRDefault="00125750" w:rsidP="00125750">
      <w:pPr>
        <w:tabs>
          <w:tab w:val="left" w:pos="720"/>
        </w:tabs>
        <w:spacing w:beforeLines="60" w:afterLines="60"/>
        <w:ind w:left="720" w:right="1365"/>
        <w:jc w:val="both"/>
        <w:rPr>
          <w:rFonts w:ascii="Arial" w:eastAsia="Times New Roman" w:hAnsi="Arial" w:cs="Arial"/>
          <w:color w:val="000000"/>
          <w:sz w:val="20"/>
          <w:szCs w:val="20"/>
          <w:lang w:eastAsia="en-IN"/>
        </w:rPr>
      </w:pPr>
      <w:r w:rsidRPr="00125750">
        <w:rPr>
          <w:rFonts w:ascii="Arial" w:eastAsia="Times New Roman" w:hAnsi="Arial" w:cs="Arial"/>
          <w:color w:val="000000"/>
          <w:sz w:val="20"/>
          <w:szCs w:val="20"/>
          <w:lang w:eastAsia="en-IN"/>
        </w:rPr>
        <w:t>2.</w:t>
      </w:r>
      <w:r w:rsidRPr="00125750">
        <w:rPr>
          <w:rFonts w:ascii="Arial" w:eastAsia="Times New Roman" w:hAnsi="Arial" w:cs="Arial"/>
          <w:color w:val="000000"/>
          <w:sz w:val="20"/>
          <w:szCs w:val="20"/>
          <w:lang w:eastAsia="en-IN"/>
        </w:rPr>
        <w:tab/>
        <w:t>As per the extant provisions, an exporter is required to submit the SDF form along with Shipping Bills for export of goods. RBI has recently dispensed with the SDF in case of exports taking place through the EDI ports vide</w:t>
      </w:r>
      <w:r w:rsidRPr="00125750">
        <w:rPr>
          <w:rFonts w:ascii="Arial" w:eastAsia="Times New Roman" w:hAnsi="Arial" w:cs="Arial"/>
          <w:sz w:val="20"/>
          <w:szCs w:val="20"/>
          <w:lang w:val="en-US" w:eastAsia="en-IN"/>
        </w:rPr>
        <w:t xml:space="preserve"> Foreign Exchange Management (Export of Goods and Services) (</w:t>
      </w:r>
      <w:proofErr w:type="spellStart"/>
      <w:r w:rsidRPr="00125750">
        <w:rPr>
          <w:rFonts w:ascii="Arial" w:eastAsia="Times New Roman" w:hAnsi="Arial" w:cs="Arial"/>
          <w:sz w:val="20"/>
          <w:szCs w:val="20"/>
          <w:lang w:val="en-US" w:eastAsia="en-IN"/>
        </w:rPr>
        <w:t>Amendement</w:t>
      </w:r>
      <w:proofErr w:type="spellEnd"/>
      <w:r w:rsidRPr="00125750">
        <w:rPr>
          <w:rFonts w:ascii="Arial" w:eastAsia="Times New Roman" w:hAnsi="Arial" w:cs="Arial"/>
          <w:sz w:val="20"/>
          <w:szCs w:val="20"/>
          <w:lang w:val="en-US" w:eastAsia="en-IN"/>
        </w:rPr>
        <w:t xml:space="preserve">)  Regulations, 2015’ and  </w:t>
      </w:r>
      <w:r w:rsidRPr="00125750">
        <w:rPr>
          <w:rFonts w:ascii="Arial" w:eastAsia="Times New Roman" w:hAnsi="Arial" w:cs="Arial"/>
          <w:sz w:val="20"/>
          <w:szCs w:val="20"/>
          <w:u w:val="single"/>
          <w:lang w:val="en-US" w:eastAsia="en-IN"/>
        </w:rPr>
        <w:t xml:space="preserve">A.P. (DIR Series) Circular No 101, dated 14.05.2015. </w:t>
      </w:r>
      <w:r w:rsidRPr="00125750">
        <w:rPr>
          <w:rFonts w:ascii="Arial" w:eastAsia="Times New Roman" w:hAnsi="Arial" w:cs="Arial"/>
          <w:sz w:val="20"/>
          <w:szCs w:val="20"/>
          <w:lang w:val="en-US" w:eastAsia="en-IN"/>
        </w:rPr>
        <w:t>C</w:t>
      </w:r>
      <w:r w:rsidRPr="00125750">
        <w:rPr>
          <w:rFonts w:ascii="Arial" w:eastAsia="Times New Roman" w:hAnsi="Arial" w:cs="Arial"/>
          <w:color w:val="000000"/>
          <w:sz w:val="20"/>
          <w:szCs w:val="20"/>
          <w:lang w:eastAsia="en-IN"/>
        </w:rPr>
        <w:t xml:space="preserve">consequently, RBI has desired that the declaration of foreign exchange remittance under the Foreign Exchange Management Act, 1999 (given below) may be made a part of the Shipping Bill. </w:t>
      </w:r>
    </w:p>
    <w:p w:rsidR="00125750" w:rsidRPr="00125750" w:rsidRDefault="00125750" w:rsidP="00125750">
      <w:pPr>
        <w:tabs>
          <w:tab w:val="left" w:pos="720"/>
        </w:tabs>
        <w:spacing w:beforeLines="60" w:afterLines="60"/>
        <w:ind w:left="720" w:right="1365"/>
        <w:jc w:val="both"/>
        <w:rPr>
          <w:rFonts w:ascii="Arial" w:eastAsia="Times New Roman" w:hAnsi="Arial" w:cs="Arial"/>
          <w:i/>
          <w:color w:val="000000"/>
          <w:sz w:val="20"/>
          <w:szCs w:val="20"/>
          <w:lang w:eastAsia="en-IN"/>
        </w:rPr>
      </w:pPr>
      <w:r w:rsidRPr="00125750">
        <w:rPr>
          <w:rFonts w:ascii="Arial" w:eastAsia="Times New Roman" w:hAnsi="Arial" w:cs="Arial"/>
          <w:color w:val="000000"/>
          <w:sz w:val="20"/>
          <w:szCs w:val="20"/>
          <w:lang w:eastAsia="en-IN"/>
        </w:rPr>
        <w:t>“</w:t>
      </w:r>
      <w:r w:rsidRPr="00125750">
        <w:rPr>
          <w:rFonts w:ascii="Arial" w:eastAsia="Times New Roman" w:hAnsi="Arial" w:cs="Arial"/>
          <w:i/>
          <w:color w:val="000000"/>
          <w:sz w:val="20"/>
          <w:szCs w:val="20"/>
          <w:lang w:eastAsia="en-IN"/>
        </w:rPr>
        <w:t>I/We undertake to abide by provisions of Foreign Exchange Management Act, 1999, as amended from time to time, including realization / repatriation of foreign exchange to / from India.”</w:t>
      </w:r>
    </w:p>
    <w:p w:rsidR="00125750" w:rsidRPr="00125750" w:rsidRDefault="00125750" w:rsidP="00125750">
      <w:pPr>
        <w:tabs>
          <w:tab w:val="left" w:pos="720"/>
        </w:tabs>
        <w:spacing w:beforeLines="60" w:afterLines="60"/>
        <w:ind w:left="720" w:right="1365"/>
        <w:jc w:val="both"/>
        <w:rPr>
          <w:rFonts w:ascii="Arial" w:eastAsia="Times New Roman" w:hAnsi="Arial" w:cs="Arial"/>
          <w:color w:val="000000"/>
          <w:sz w:val="20"/>
          <w:szCs w:val="20"/>
          <w:lang w:eastAsia="en-IN"/>
        </w:rPr>
      </w:pPr>
      <w:r w:rsidRPr="00125750">
        <w:rPr>
          <w:rFonts w:ascii="Arial" w:eastAsia="Times New Roman" w:hAnsi="Arial" w:cs="Arial"/>
          <w:color w:val="000000"/>
          <w:sz w:val="20"/>
          <w:szCs w:val="20"/>
          <w:lang w:eastAsia="en-IN"/>
        </w:rPr>
        <w:tab/>
        <w:t xml:space="preserve">DGFT has endorsed this proposal. </w:t>
      </w:r>
    </w:p>
    <w:p w:rsidR="00125750" w:rsidRPr="00125750" w:rsidRDefault="00125750" w:rsidP="00125750">
      <w:pPr>
        <w:tabs>
          <w:tab w:val="left" w:pos="720"/>
        </w:tabs>
        <w:spacing w:beforeLines="60" w:afterLines="60"/>
        <w:ind w:left="720" w:right="1365"/>
        <w:jc w:val="both"/>
        <w:rPr>
          <w:rFonts w:ascii="Arial" w:eastAsia="Times New Roman" w:hAnsi="Arial" w:cs="Arial"/>
          <w:color w:val="000000"/>
          <w:sz w:val="20"/>
          <w:szCs w:val="20"/>
          <w:lang w:eastAsia="en-IN"/>
        </w:rPr>
      </w:pPr>
      <w:r w:rsidRPr="00125750">
        <w:rPr>
          <w:rFonts w:ascii="Arial" w:eastAsia="Times New Roman" w:hAnsi="Arial" w:cs="Arial"/>
          <w:color w:val="000000"/>
          <w:sz w:val="20"/>
          <w:szCs w:val="20"/>
          <w:lang w:eastAsia="en-IN"/>
        </w:rPr>
        <w:t>3.</w:t>
      </w:r>
      <w:r w:rsidRPr="00125750">
        <w:rPr>
          <w:rFonts w:ascii="Arial" w:eastAsia="Times New Roman" w:hAnsi="Arial" w:cs="Arial"/>
          <w:color w:val="000000"/>
          <w:sz w:val="20"/>
          <w:szCs w:val="20"/>
          <w:lang w:eastAsia="en-IN"/>
        </w:rPr>
        <w:tab/>
        <w:t xml:space="preserve">Accordingly, Board has issued Notification No 46/2015-Customs (N.T.), dated 18.05.2015 to incorporate the aforementioned declaration in lieu of SDF form in the Shipping Bill. Thus, declaration as mentioned in </w:t>
      </w:r>
      <w:proofErr w:type="spellStart"/>
      <w:r w:rsidRPr="00125750">
        <w:rPr>
          <w:rFonts w:ascii="Arial" w:eastAsia="Times New Roman" w:hAnsi="Arial" w:cs="Arial"/>
          <w:color w:val="000000"/>
          <w:sz w:val="20"/>
          <w:szCs w:val="20"/>
          <w:lang w:eastAsia="en-IN"/>
        </w:rPr>
        <w:t>para</w:t>
      </w:r>
      <w:proofErr w:type="spellEnd"/>
      <w:r w:rsidRPr="00125750">
        <w:rPr>
          <w:rFonts w:ascii="Arial" w:eastAsia="Times New Roman" w:hAnsi="Arial" w:cs="Arial"/>
          <w:color w:val="000000"/>
          <w:sz w:val="20"/>
          <w:szCs w:val="20"/>
          <w:lang w:eastAsia="en-IN"/>
        </w:rPr>
        <w:t xml:space="preserve"> 2 above should be furnished by exporters as part of the declaration in the Shipping Bill with immediate effect. </w:t>
      </w:r>
    </w:p>
    <w:p w:rsidR="00125750" w:rsidRPr="00125750" w:rsidRDefault="00125750" w:rsidP="00125750">
      <w:pPr>
        <w:tabs>
          <w:tab w:val="left" w:pos="720"/>
        </w:tabs>
        <w:spacing w:beforeLines="60" w:afterLines="60"/>
        <w:ind w:left="720" w:right="1365"/>
        <w:jc w:val="both"/>
        <w:rPr>
          <w:rFonts w:ascii="Arial" w:eastAsia="Times New Roman" w:hAnsi="Arial" w:cs="Arial"/>
          <w:color w:val="000000"/>
          <w:sz w:val="20"/>
          <w:szCs w:val="20"/>
          <w:lang w:eastAsia="en-IN"/>
        </w:rPr>
      </w:pPr>
      <w:r w:rsidRPr="00125750">
        <w:rPr>
          <w:rFonts w:ascii="Arial" w:eastAsia="Times New Roman" w:hAnsi="Arial" w:cs="Arial"/>
          <w:color w:val="000000"/>
          <w:sz w:val="20"/>
          <w:szCs w:val="20"/>
          <w:lang w:eastAsia="en-IN"/>
        </w:rPr>
        <w:t>4.</w:t>
      </w:r>
      <w:r w:rsidRPr="00125750">
        <w:rPr>
          <w:rFonts w:ascii="Arial" w:eastAsia="Times New Roman" w:hAnsi="Arial" w:cs="Arial"/>
          <w:color w:val="000000"/>
          <w:sz w:val="20"/>
          <w:szCs w:val="20"/>
          <w:lang w:eastAsia="en-IN"/>
        </w:rPr>
        <w:tab/>
        <w:t xml:space="preserve">Chief Commissioners of Customs / Chief Commissioners of Customs and Central Excise are advised to sensitize the field formation working under their jurisdiction and issue suitable Public Notice / Trade Notice for guidance of trade and public. </w:t>
      </w:r>
    </w:p>
    <w:p w:rsidR="00125750" w:rsidRPr="00125750" w:rsidRDefault="00125750" w:rsidP="00125750">
      <w:pPr>
        <w:tabs>
          <w:tab w:val="left" w:pos="720"/>
        </w:tabs>
        <w:spacing w:beforeLines="60" w:afterLines="60"/>
        <w:ind w:left="720" w:right="1365"/>
        <w:jc w:val="both"/>
        <w:rPr>
          <w:rFonts w:ascii="Arial" w:eastAsia="Times New Roman" w:hAnsi="Arial" w:cs="Arial"/>
          <w:sz w:val="20"/>
          <w:szCs w:val="20"/>
          <w:lang w:val="en-US" w:eastAsia="en-IN"/>
        </w:rPr>
      </w:pPr>
      <w:r w:rsidRPr="00125750">
        <w:rPr>
          <w:rFonts w:ascii="Arial" w:eastAsia="Times New Roman" w:hAnsi="Arial" w:cs="Arial"/>
          <w:color w:val="000000"/>
          <w:sz w:val="20"/>
          <w:szCs w:val="20"/>
          <w:lang w:eastAsia="en-IN"/>
        </w:rPr>
        <w:t>5.</w:t>
      </w:r>
      <w:r w:rsidRPr="00125750">
        <w:rPr>
          <w:rFonts w:ascii="Arial" w:eastAsia="Times New Roman" w:hAnsi="Arial" w:cs="Arial"/>
          <w:color w:val="000000"/>
          <w:sz w:val="20"/>
          <w:szCs w:val="20"/>
          <w:lang w:eastAsia="en-IN"/>
        </w:rPr>
        <w:tab/>
        <w:t xml:space="preserve">Difficulty faced, if any, in implementation of aforementioned guidelines may be brought to the notice of the Board at an early date. </w:t>
      </w:r>
    </w:p>
    <w:p w:rsidR="00125750" w:rsidRPr="00125750" w:rsidRDefault="00125750" w:rsidP="00125750">
      <w:pPr>
        <w:tabs>
          <w:tab w:val="left" w:pos="720"/>
        </w:tabs>
        <w:spacing w:beforeLines="60" w:afterLines="60" w:line="300" w:lineRule="auto"/>
        <w:ind w:left="720" w:right="1365"/>
        <w:jc w:val="right"/>
        <w:rPr>
          <w:rFonts w:ascii="Arial" w:eastAsia="Times New Roman" w:hAnsi="Arial" w:cs="Arial"/>
          <w:sz w:val="20"/>
          <w:szCs w:val="20"/>
          <w:lang w:val="en-US" w:eastAsia="en-IN"/>
        </w:rPr>
      </w:pPr>
      <w:r w:rsidRPr="00125750">
        <w:rPr>
          <w:rFonts w:ascii="Arial" w:eastAsia="Times New Roman" w:hAnsi="Arial" w:cs="Arial"/>
          <w:sz w:val="20"/>
          <w:szCs w:val="20"/>
          <w:lang w:val="en-US" w:eastAsia="en-IN"/>
        </w:rPr>
        <w:t xml:space="preserve">  Yours faithfully, </w:t>
      </w:r>
    </w:p>
    <w:p w:rsidR="00125750" w:rsidRPr="00125750" w:rsidRDefault="00125750" w:rsidP="00125750">
      <w:pPr>
        <w:tabs>
          <w:tab w:val="left" w:pos="720"/>
        </w:tabs>
        <w:spacing w:after="0" w:line="300" w:lineRule="auto"/>
        <w:ind w:left="720" w:right="1365"/>
        <w:jc w:val="right"/>
        <w:rPr>
          <w:rFonts w:ascii="Arial" w:eastAsia="Times New Roman" w:hAnsi="Arial" w:cs="Arial"/>
          <w:sz w:val="20"/>
          <w:szCs w:val="20"/>
          <w:lang w:val="en-US" w:eastAsia="en-IN"/>
        </w:rPr>
      </w:pPr>
    </w:p>
    <w:p w:rsidR="00125750" w:rsidRPr="00125750" w:rsidRDefault="00125750" w:rsidP="00125750">
      <w:pPr>
        <w:tabs>
          <w:tab w:val="left" w:pos="720"/>
        </w:tabs>
        <w:spacing w:after="0" w:line="300" w:lineRule="auto"/>
        <w:ind w:left="720" w:right="1365"/>
        <w:jc w:val="right"/>
        <w:rPr>
          <w:rFonts w:ascii="Arial" w:eastAsia="Times New Roman" w:hAnsi="Arial" w:cs="Arial"/>
          <w:sz w:val="20"/>
          <w:szCs w:val="20"/>
          <w:lang w:val="en-US" w:eastAsia="en-IN"/>
        </w:rPr>
      </w:pPr>
    </w:p>
    <w:p w:rsidR="00125750" w:rsidRPr="00125750" w:rsidRDefault="00125750" w:rsidP="00125750">
      <w:pPr>
        <w:tabs>
          <w:tab w:val="left" w:pos="720"/>
        </w:tabs>
        <w:spacing w:after="0" w:line="300" w:lineRule="auto"/>
        <w:ind w:left="720" w:right="1365"/>
        <w:jc w:val="right"/>
        <w:rPr>
          <w:rFonts w:ascii="Arial" w:eastAsia="Times New Roman" w:hAnsi="Arial" w:cs="Arial"/>
          <w:sz w:val="20"/>
          <w:szCs w:val="20"/>
          <w:lang w:val="nl-NL" w:eastAsia="en-IN"/>
        </w:rPr>
      </w:pPr>
      <w:r w:rsidRPr="00125750">
        <w:rPr>
          <w:rFonts w:ascii="Arial" w:eastAsia="Times New Roman" w:hAnsi="Arial" w:cs="Arial"/>
          <w:sz w:val="20"/>
          <w:szCs w:val="20"/>
          <w:lang w:val="nl-NL" w:eastAsia="en-IN"/>
        </w:rPr>
        <w:t xml:space="preserve"> (Pawan Khetan) </w:t>
      </w:r>
    </w:p>
    <w:p w:rsidR="00125750" w:rsidRPr="00125750" w:rsidRDefault="00125750" w:rsidP="00125750">
      <w:pPr>
        <w:tabs>
          <w:tab w:val="left" w:pos="720"/>
        </w:tabs>
        <w:spacing w:after="0" w:line="300" w:lineRule="auto"/>
        <w:ind w:left="720" w:right="1365"/>
        <w:jc w:val="right"/>
        <w:rPr>
          <w:rFonts w:ascii="Arial" w:eastAsia="Times New Roman" w:hAnsi="Arial" w:cs="Arial"/>
          <w:b/>
          <w:sz w:val="20"/>
          <w:szCs w:val="20"/>
          <w:lang w:val="nl-NL" w:eastAsia="en-IN"/>
        </w:rPr>
      </w:pPr>
      <w:r w:rsidRPr="00125750">
        <w:rPr>
          <w:rFonts w:ascii="Arial" w:eastAsia="Times New Roman" w:hAnsi="Arial" w:cs="Arial"/>
          <w:sz w:val="20"/>
          <w:szCs w:val="20"/>
          <w:lang w:val="nl-NL" w:eastAsia="en-IN"/>
        </w:rPr>
        <w:t xml:space="preserve"> OSD (Cus–IV)</w:t>
      </w:r>
    </w:p>
    <w:p w:rsidR="00035E69" w:rsidRDefault="00035E69"/>
    <w:sectPr w:rsidR="00035E69" w:rsidSect="00125750">
      <w:pgSz w:w="11906" w:h="16838"/>
      <w:pgMar w:top="567"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25750"/>
    <w:rsid w:val="00035E69"/>
    <w:rsid w:val="0012575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E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25750"/>
    <w:pPr>
      <w:spacing w:after="120"/>
    </w:pPr>
    <w:rPr>
      <w:rFonts w:ascii="Calibri" w:eastAsia="Times New Roman" w:hAnsi="Calibri" w:cs="Times New Roman"/>
      <w:lang w:eastAsia="en-IN"/>
    </w:rPr>
  </w:style>
  <w:style w:type="character" w:customStyle="1" w:styleId="BodyTextChar">
    <w:name w:val="Body Text Char"/>
    <w:basedOn w:val="DefaultParagraphFont"/>
    <w:link w:val="BodyText"/>
    <w:rsid w:val="00125750"/>
    <w:rPr>
      <w:rFonts w:ascii="Calibri" w:eastAsia="Times New Roman" w:hAnsi="Calibri" w:cs="Times New Roman"/>
      <w:lang w:eastAsia="en-IN"/>
    </w:rPr>
  </w:style>
</w:styles>
</file>

<file path=word/webSettings.xml><?xml version="1.0" encoding="utf-8"?>
<w:webSettings xmlns:r="http://schemas.openxmlformats.org/officeDocument/2006/relationships" xmlns:w="http://schemas.openxmlformats.org/wordprocessingml/2006/main">
  <w:divs>
    <w:div w:id="120737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1959</Characters>
  <Application>Microsoft Office Word</Application>
  <DocSecurity>0</DocSecurity>
  <Lines>16</Lines>
  <Paragraphs>4</Paragraphs>
  <ScaleCrop>false</ScaleCrop>
  <Company>Hewlett-Packard Company</Company>
  <LinksUpToDate>false</LinksUpToDate>
  <CharactersWithSpaces>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2015-06-04T12:23:00Z</dcterms:created>
  <dcterms:modified xsi:type="dcterms:W3CDTF">2015-06-04T12:24:00Z</dcterms:modified>
</cp:coreProperties>
</file>