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74" w:rsidRDefault="00291C74" w:rsidP="00291C74">
      <w:pPr>
        <w:pBdr>
          <w:bottom w:val="dashed" w:sz="8" w:space="6" w:color="CCCCCC"/>
        </w:pBdr>
        <w:jc w:val="center"/>
        <w:outlineLvl w:val="1"/>
        <w:rPr>
          <w:rFonts w:ascii="Bookman Old Style" w:hAnsi="Bookman Old Style" w:cs="Arial"/>
          <w:b/>
          <w:bCs/>
          <w:color w:val="666666"/>
          <w:sz w:val="32"/>
          <w:szCs w:val="32"/>
        </w:rPr>
      </w:pPr>
      <w:r w:rsidRPr="002810EE">
        <w:rPr>
          <w:rFonts w:ascii="Bookman Old Style" w:hAnsi="Bookman Old Style" w:cs="Arial"/>
          <w:b/>
          <w:bCs/>
          <w:color w:val="666666"/>
          <w:sz w:val="32"/>
          <w:szCs w:val="32"/>
        </w:rPr>
        <w:t xml:space="preserve">Code of Conduct for the Members of the </w:t>
      </w:r>
    </w:p>
    <w:p w:rsidR="00291C74" w:rsidRPr="002810EE" w:rsidRDefault="00291C74" w:rsidP="00291C74">
      <w:pPr>
        <w:pBdr>
          <w:bottom w:val="dashed" w:sz="8" w:space="6" w:color="CCCCCC"/>
        </w:pBdr>
        <w:jc w:val="center"/>
        <w:outlineLvl w:val="1"/>
        <w:rPr>
          <w:rFonts w:ascii="Bookman Old Style" w:hAnsi="Bookman Old Style" w:cs="Arial"/>
          <w:b/>
          <w:bCs/>
          <w:color w:val="666666"/>
          <w:sz w:val="32"/>
          <w:szCs w:val="32"/>
        </w:rPr>
      </w:pPr>
      <w:r w:rsidRPr="002810EE">
        <w:rPr>
          <w:rFonts w:ascii="Bookman Old Style" w:hAnsi="Bookman Old Style" w:cs="Arial"/>
          <w:b/>
          <w:bCs/>
          <w:color w:val="666666"/>
          <w:sz w:val="32"/>
          <w:szCs w:val="32"/>
        </w:rPr>
        <w:t>Council for Leather Exports</w:t>
      </w:r>
    </w:p>
    <w:p w:rsidR="00291C74" w:rsidRPr="002810EE" w:rsidRDefault="00291C74" w:rsidP="00291C74">
      <w:pPr>
        <w:pStyle w:val="NoSpacing"/>
        <w:numPr>
          <w:ilvl w:val="0"/>
          <w:numId w:val="1"/>
        </w:numPr>
        <w:ind w:left="360"/>
        <w:jc w:val="both"/>
        <w:rPr>
          <w:rFonts w:ascii="Bookman Old Style" w:hAnsi="Bookman Old Style"/>
          <w:b/>
          <w:sz w:val="26"/>
        </w:rPr>
      </w:pPr>
      <w:r w:rsidRPr="002810EE">
        <w:rPr>
          <w:rFonts w:ascii="Bookman Old Style" w:hAnsi="Bookman Old Style"/>
          <w:b/>
          <w:sz w:val="26"/>
        </w:rPr>
        <w:t xml:space="preserve">Compliance with all national laws and regulations </w:t>
      </w:r>
    </w:p>
    <w:p w:rsidR="00291C74" w:rsidRPr="002810EE" w:rsidRDefault="00291C74" w:rsidP="00291C74">
      <w:pPr>
        <w:pStyle w:val="NoSpacing"/>
        <w:jc w:val="both"/>
        <w:rPr>
          <w:rFonts w:ascii="Bookman Old Style" w:hAnsi="Bookman Old Style"/>
          <w:b/>
          <w:sz w:val="26"/>
        </w:rPr>
      </w:pPr>
    </w:p>
    <w:p w:rsidR="00291C74" w:rsidRPr="002810EE" w:rsidRDefault="00291C74" w:rsidP="00291C74">
      <w:pPr>
        <w:pStyle w:val="NoSpacing"/>
        <w:ind w:left="360"/>
        <w:jc w:val="both"/>
        <w:rPr>
          <w:rFonts w:ascii="Bookman Old Style" w:hAnsi="Bookman Old Style"/>
          <w:sz w:val="26"/>
        </w:rPr>
      </w:pPr>
      <w:r w:rsidRPr="002810EE">
        <w:rPr>
          <w:rFonts w:ascii="Bookman Old Style" w:hAnsi="Bookman Old Style"/>
          <w:sz w:val="26"/>
        </w:rPr>
        <w:t xml:space="preserve">Members are required to abide by all applicable laws, regulations and standards applicable to its particular industry under the national laws of the countries where the </w:t>
      </w:r>
      <w:proofErr w:type="spellStart"/>
      <w:r w:rsidRPr="002810EE">
        <w:rPr>
          <w:rFonts w:ascii="Bookman Old Style" w:hAnsi="Bookman Old Style"/>
          <w:sz w:val="26"/>
        </w:rPr>
        <w:t>organisation</w:t>
      </w:r>
      <w:proofErr w:type="spellEnd"/>
      <w:r w:rsidRPr="002810EE">
        <w:rPr>
          <w:rFonts w:ascii="Bookman Old Style" w:hAnsi="Bookman Old Style"/>
          <w:sz w:val="26"/>
        </w:rPr>
        <w:t xml:space="preserve"> is doing business. Should the legal requirements and the standards of the industry conflict, members must comply with the laws of the country in which the products are being manufactured. Members should, however, strive to meet industry standards whenever possible. If state or local legal requirements apply to the </w:t>
      </w:r>
      <w:proofErr w:type="spellStart"/>
      <w:r w:rsidRPr="002810EE">
        <w:rPr>
          <w:rFonts w:ascii="Bookman Old Style" w:hAnsi="Bookman Old Style"/>
          <w:sz w:val="26"/>
        </w:rPr>
        <w:t>organisation’s</w:t>
      </w:r>
      <w:proofErr w:type="spellEnd"/>
      <w:r w:rsidRPr="002810EE">
        <w:rPr>
          <w:rFonts w:ascii="Bookman Old Style" w:hAnsi="Bookman Old Style"/>
          <w:sz w:val="26"/>
        </w:rPr>
        <w:t xml:space="preserve"> manufacturing activities, they must comply with the state and local requirements.</w:t>
      </w:r>
    </w:p>
    <w:p w:rsidR="00291C74" w:rsidRPr="002810EE" w:rsidRDefault="00291C74" w:rsidP="00291C74">
      <w:pPr>
        <w:spacing w:after="150"/>
        <w:jc w:val="both"/>
        <w:rPr>
          <w:rFonts w:ascii="Bookman Old Style" w:hAnsi="Bookman Old Style" w:cs="Arial"/>
          <w:color w:val="000000" w:themeColor="text1"/>
          <w:sz w:val="26"/>
          <w:szCs w:val="21"/>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 xml:space="preserve">Employment practices  </w:t>
      </w:r>
    </w:p>
    <w:p w:rsidR="00291C74" w:rsidRDefault="00291C74" w:rsidP="00291C74">
      <w:pPr>
        <w:ind w:left="360"/>
        <w:jc w:val="both"/>
        <w:rPr>
          <w:rFonts w:ascii="Bookman Old Style" w:hAnsi="Bookman Old Style"/>
          <w:sz w:val="26"/>
        </w:rPr>
      </w:pPr>
      <w:r w:rsidRPr="002810EE">
        <w:rPr>
          <w:rFonts w:ascii="Bookman Old Style" w:hAnsi="Bookman Old Style"/>
          <w:sz w:val="26"/>
        </w:rPr>
        <w:t>Members should respect its employees and to strive to improve conditions whenever possible but in all instances to be in compliance with the specific requirements relating to employment conditions. The Employees should be permitted to communicate their day to day issues with the management and the Employees should be allowed to get grievances for their issues from the management / Factories.</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 xml:space="preserve">Wages &amp; Benefits </w:t>
      </w:r>
    </w:p>
    <w:p w:rsidR="00291C74" w:rsidRDefault="00291C74" w:rsidP="00291C74">
      <w:pPr>
        <w:ind w:left="360"/>
        <w:jc w:val="both"/>
        <w:rPr>
          <w:rFonts w:ascii="Bookman Old Style" w:hAnsi="Bookman Old Style"/>
          <w:sz w:val="26"/>
        </w:rPr>
      </w:pPr>
      <w:r w:rsidRPr="002810EE">
        <w:rPr>
          <w:rFonts w:ascii="Bookman Old Style" w:hAnsi="Bookman Old Style"/>
          <w:sz w:val="26"/>
        </w:rPr>
        <w:t xml:space="preserve">Members shall provide wages, overtime compensation and benefits at </w:t>
      </w:r>
      <w:r>
        <w:rPr>
          <w:rFonts w:ascii="Bookman Old Style" w:hAnsi="Bookman Old Style"/>
          <w:sz w:val="26"/>
        </w:rPr>
        <w:t xml:space="preserve">the rate </w:t>
      </w:r>
      <w:r w:rsidRPr="002810EE">
        <w:rPr>
          <w:rFonts w:ascii="Bookman Old Style" w:hAnsi="Bookman Old Style"/>
          <w:sz w:val="26"/>
        </w:rPr>
        <w:t>not less than the minimum levels required by applicable laws and regulations or which are consistent with the prevailing local industry levels, whichever is higher.</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 xml:space="preserve">Working Hours </w:t>
      </w:r>
    </w:p>
    <w:p w:rsidR="00291C74" w:rsidRDefault="00291C74" w:rsidP="00291C74">
      <w:pPr>
        <w:ind w:left="360"/>
        <w:jc w:val="both"/>
        <w:rPr>
          <w:rFonts w:ascii="Bookman Old Style" w:hAnsi="Bookman Old Style"/>
          <w:sz w:val="26"/>
        </w:rPr>
      </w:pPr>
      <w:r w:rsidRPr="002810EE">
        <w:rPr>
          <w:rFonts w:ascii="Bookman Old Style" w:hAnsi="Bookman Old Style"/>
          <w:sz w:val="26"/>
        </w:rPr>
        <w:t xml:space="preserve">Members shall maintain employee’s work hours in compliance with local standards and applicable laws of the jurisdictions in which they are doing business. Unless the national law is different, the maximum standard working time is 48 hours per week or 60 hours per week including 12 hours of overtime work.  Employees should be given at least one day rest for the every 7 days. </w:t>
      </w:r>
    </w:p>
    <w:p w:rsidR="00291C74" w:rsidRDefault="00291C74" w:rsidP="00291C74">
      <w:pPr>
        <w:ind w:left="360"/>
        <w:jc w:val="both"/>
        <w:rPr>
          <w:rFonts w:ascii="Bookman Old Style" w:hAnsi="Bookman Old Style"/>
          <w:sz w:val="26"/>
        </w:rPr>
      </w:pPr>
    </w:p>
    <w:p w:rsidR="00E502C2" w:rsidRDefault="00E502C2" w:rsidP="00291C74">
      <w:pPr>
        <w:ind w:left="360"/>
        <w:jc w:val="both"/>
        <w:rPr>
          <w:rFonts w:ascii="Bookman Old Style" w:hAnsi="Bookman Old Style"/>
          <w:sz w:val="26"/>
        </w:rPr>
      </w:pPr>
    </w:p>
    <w:p w:rsidR="00E502C2" w:rsidRDefault="00E502C2" w:rsidP="00291C74">
      <w:pPr>
        <w:ind w:left="360"/>
        <w:jc w:val="both"/>
        <w:rPr>
          <w:rFonts w:ascii="Bookman Old Style" w:hAnsi="Bookman Old Style"/>
          <w:sz w:val="26"/>
        </w:rPr>
      </w:pPr>
    </w:p>
    <w:p w:rsidR="00E502C2" w:rsidRPr="002810EE" w:rsidRDefault="00E502C2"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after="150" w:line="240" w:lineRule="auto"/>
        <w:ind w:left="360"/>
        <w:contextualSpacing/>
        <w:jc w:val="both"/>
        <w:rPr>
          <w:rFonts w:ascii="Bookman Old Style" w:eastAsia="Times New Roman" w:hAnsi="Bookman Old Style" w:cs="Arial"/>
          <w:b/>
          <w:i/>
          <w:color w:val="000000" w:themeColor="text1"/>
          <w:sz w:val="26"/>
          <w:szCs w:val="21"/>
        </w:rPr>
      </w:pPr>
      <w:r w:rsidRPr="002810EE">
        <w:rPr>
          <w:rFonts w:ascii="Bookman Old Style" w:eastAsia="Times New Roman" w:hAnsi="Bookman Old Style" w:cs="Arial"/>
          <w:b/>
          <w:i/>
          <w:color w:val="000000" w:themeColor="text1"/>
          <w:sz w:val="26"/>
          <w:szCs w:val="21"/>
        </w:rPr>
        <w:lastRenderedPageBreak/>
        <w:t xml:space="preserve">Child </w:t>
      </w:r>
      <w:proofErr w:type="spellStart"/>
      <w:r w:rsidRPr="002810EE">
        <w:rPr>
          <w:rFonts w:ascii="Bookman Old Style" w:eastAsia="Times New Roman" w:hAnsi="Bookman Old Style" w:cs="Arial"/>
          <w:b/>
          <w:i/>
          <w:color w:val="000000" w:themeColor="text1"/>
          <w:sz w:val="26"/>
          <w:szCs w:val="21"/>
        </w:rPr>
        <w:t>Labour</w:t>
      </w:r>
      <w:proofErr w:type="spellEnd"/>
    </w:p>
    <w:p w:rsidR="00291C74" w:rsidRPr="002810EE" w:rsidRDefault="00291C74" w:rsidP="00291C74">
      <w:pPr>
        <w:spacing w:after="150"/>
        <w:ind w:left="360"/>
        <w:jc w:val="both"/>
        <w:rPr>
          <w:rFonts w:ascii="Bookman Old Style" w:hAnsi="Bookman Old Style" w:cs="Arial"/>
          <w:color w:val="000000" w:themeColor="text1"/>
          <w:sz w:val="26"/>
          <w:szCs w:val="21"/>
        </w:rPr>
      </w:pPr>
      <w:r w:rsidRPr="002810EE">
        <w:rPr>
          <w:rFonts w:ascii="Bookman Old Style" w:hAnsi="Bookman Old Style" w:cs="Arial"/>
          <w:color w:val="000000" w:themeColor="text1"/>
          <w:sz w:val="26"/>
          <w:szCs w:val="21"/>
        </w:rPr>
        <w:t xml:space="preserve">It will be the responsibility of the Members to ensure that the Minimum Age of Employment in all their production units is as permissible under Indian Law, and that no child labor is employed as prohibited by the Child Labor (Prohibition and Regulation) Act 1986 and the Factories Act, 1948. It shall also be the responsibility of each Member to ensure that such prohibitions on child labor are respected by any entity that performs production work on behalf of the Member outside of the Member’s premises. </w:t>
      </w:r>
    </w:p>
    <w:p w:rsidR="00291C74" w:rsidRPr="002810EE" w:rsidRDefault="00291C74" w:rsidP="00291C74">
      <w:pPr>
        <w:pStyle w:val="ListParagraph"/>
        <w:numPr>
          <w:ilvl w:val="0"/>
          <w:numId w:val="1"/>
        </w:numPr>
        <w:spacing w:after="150" w:line="240" w:lineRule="auto"/>
        <w:ind w:left="360"/>
        <w:contextualSpacing/>
        <w:jc w:val="both"/>
        <w:rPr>
          <w:rFonts w:ascii="Bookman Old Style" w:hAnsi="Bookman Old Style"/>
          <w:b/>
          <w:i/>
          <w:sz w:val="26"/>
        </w:rPr>
      </w:pPr>
      <w:r w:rsidRPr="002810EE">
        <w:rPr>
          <w:rFonts w:ascii="Bookman Old Style" w:hAnsi="Bookman Old Style"/>
          <w:b/>
          <w:i/>
          <w:sz w:val="26"/>
        </w:rPr>
        <w:t xml:space="preserve">Forced Labor </w:t>
      </w:r>
    </w:p>
    <w:p w:rsidR="00291C74" w:rsidRDefault="00291C74" w:rsidP="00291C74">
      <w:pPr>
        <w:ind w:left="360"/>
        <w:jc w:val="both"/>
        <w:rPr>
          <w:rFonts w:ascii="Bookman Old Style" w:hAnsi="Bookman Old Style"/>
          <w:sz w:val="26"/>
        </w:rPr>
      </w:pPr>
      <w:r w:rsidRPr="002810EE">
        <w:rPr>
          <w:rFonts w:ascii="Bookman Old Style" w:hAnsi="Bookman Old Style"/>
          <w:sz w:val="26"/>
        </w:rPr>
        <w:t xml:space="preserve">The use of forced or involuntary </w:t>
      </w:r>
      <w:r>
        <w:rPr>
          <w:rFonts w:ascii="Bookman Old Style" w:hAnsi="Bookman Old Style"/>
          <w:sz w:val="26"/>
        </w:rPr>
        <w:t>labor</w:t>
      </w:r>
      <w:r w:rsidRPr="002810EE">
        <w:rPr>
          <w:rFonts w:ascii="Bookman Old Style" w:hAnsi="Bookman Old Style"/>
          <w:sz w:val="26"/>
        </w:rPr>
        <w:t xml:space="preserve"> is unacceptable. Members shall maintain employment on a voluntary basis. Management should not directly or indirectly use in any manner, forced labor or prison labor.  Management of the factories should not take in their custody the passport, identity cards, educational certificates, etc., to compel or force the employees to work in their factories.  The movement of the employees should not be restricted and no </w:t>
      </w:r>
      <w:proofErr w:type="gramStart"/>
      <w:r w:rsidRPr="002810EE">
        <w:rPr>
          <w:rFonts w:ascii="Bookman Old Style" w:hAnsi="Bookman Old Style"/>
          <w:sz w:val="26"/>
        </w:rPr>
        <w:t>fine,</w:t>
      </w:r>
      <w:proofErr w:type="gramEnd"/>
      <w:r w:rsidRPr="002810EE">
        <w:rPr>
          <w:rFonts w:ascii="Bookman Old Style" w:hAnsi="Bookman Old Style"/>
          <w:sz w:val="26"/>
        </w:rPr>
        <w:t xml:space="preserve"> or penalty shall be charged from the employee for leaving the factory.</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NoSpacing"/>
        <w:numPr>
          <w:ilvl w:val="0"/>
          <w:numId w:val="1"/>
        </w:numPr>
        <w:ind w:left="360"/>
        <w:jc w:val="both"/>
        <w:rPr>
          <w:rFonts w:ascii="Bookman Old Style" w:hAnsi="Bookman Old Style"/>
          <w:i/>
          <w:sz w:val="26"/>
        </w:rPr>
      </w:pPr>
      <w:r w:rsidRPr="002810EE">
        <w:rPr>
          <w:rFonts w:ascii="Bookman Old Style" w:hAnsi="Bookman Old Style"/>
          <w:b/>
          <w:i/>
          <w:sz w:val="26"/>
        </w:rPr>
        <w:t>Non-discrimination / Human Rights</w:t>
      </w:r>
    </w:p>
    <w:p w:rsidR="00291C74" w:rsidRPr="002810EE" w:rsidRDefault="00291C74" w:rsidP="00291C74">
      <w:pPr>
        <w:pStyle w:val="NoSpacing"/>
        <w:jc w:val="both"/>
        <w:rPr>
          <w:rFonts w:ascii="Bookman Old Style" w:hAnsi="Bookman Old Style"/>
          <w:sz w:val="26"/>
        </w:rPr>
      </w:pPr>
    </w:p>
    <w:p w:rsidR="00291C74" w:rsidRPr="002810EE" w:rsidRDefault="00291C74" w:rsidP="00291C74">
      <w:pPr>
        <w:pStyle w:val="NoSpacing"/>
        <w:ind w:left="360"/>
        <w:jc w:val="both"/>
        <w:rPr>
          <w:rFonts w:ascii="Bookman Old Style" w:hAnsi="Bookman Old Style"/>
          <w:sz w:val="26"/>
        </w:rPr>
      </w:pPr>
      <w:r w:rsidRPr="002810EE">
        <w:rPr>
          <w:rFonts w:ascii="Bookman Old Style" w:hAnsi="Bookman Old Style"/>
          <w:sz w:val="26"/>
        </w:rPr>
        <w:t>Cultural differences exist and different practices apply in various jurisdictions. However, all terms and conditions of employment should be based on an individual’s ability to do the job and not on the basis of physical characteristics or beliefs. Employees must not be exposed to physical punishment, threats of violence or physical, sexual, psychological or verbal harassment or maltreatment.</w:t>
      </w:r>
    </w:p>
    <w:p w:rsidR="00291C74" w:rsidRDefault="00291C74" w:rsidP="00291C74">
      <w:pPr>
        <w:pStyle w:val="NoSpacing"/>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Freedom of Association</w:t>
      </w:r>
    </w:p>
    <w:p w:rsidR="00291C74" w:rsidRDefault="00291C74" w:rsidP="00291C74">
      <w:pPr>
        <w:ind w:left="360"/>
        <w:jc w:val="both"/>
        <w:rPr>
          <w:rFonts w:ascii="Bookman Old Style" w:hAnsi="Bookman Old Style"/>
          <w:sz w:val="26"/>
        </w:rPr>
      </w:pPr>
      <w:r w:rsidRPr="002810EE">
        <w:rPr>
          <w:rFonts w:ascii="Bookman Old Style" w:hAnsi="Bookman Old Style"/>
          <w:sz w:val="26"/>
        </w:rPr>
        <w:t>Members must recognize their employees’ rights to choose whether or not to associate with or establish any organization including labor organizations.</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 xml:space="preserve">Working Conditions </w:t>
      </w:r>
    </w:p>
    <w:p w:rsidR="00291C74" w:rsidRDefault="00291C74" w:rsidP="00291C74">
      <w:pPr>
        <w:ind w:left="360"/>
        <w:jc w:val="both"/>
        <w:rPr>
          <w:rFonts w:ascii="Bookman Old Style" w:hAnsi="Bookman Old Style"/>
          <w:sz w:val="26"/>
        </w:rPr>
      </w:pPr>
      <w:r w:rsidRPr="002810EE">
        <w:rPr>
          <w:rFonts w:ascii="Bookman Old Style" w:hAnsi="Bookman Old Style"/>
          <w:sz w:val="26"/>
        </w:rPr>
        <w:t>Members must provide adequate working conditions for employees and comply with all applicable worker safety laws and regulations.</w:t>
      </w:r>
    </w:p>
    <w:p w:rsidR="00291C74" w:rsidRPr="002810EE" w:rsidRDefault="00291C74" w:rsidP="00291C74">
      <w:pPr>
        <w:ind w:left="360"/>
        <w:jc w:val="both"/>
        <w:rPr>
          <w:rFonts w:ascii="Bookman Old Style" w:hAnsi="Bookman Old Style"/>
          <w:sz w:val="26"/>
        </w:rPr>
      </w:pPr>
    </w:p>
    <w:p w:rsidR="00291C74" w:rsidRDefault="00291C74" w:rsidP="00291C74">
      <w:pPr>
        <w:ind w:left="360"/>
        <w:jc w:val="both"/>
        <w:rPr>
          <w:rFonts w:ascii="Bookman Old Style" w:hAnsi="Bookman Old Style"/>
          <w:i/>
          <w:sz w:val="26"/>
        </w:rPr>
      </w:pPr>
      <w:r w:rsidRPr="002810EE">
        <w:rPr>
          <w:rFonts w:ascii="Bookman Old Style" w:hAnsi="Bookman Old Style"/>
          <w:i/>
          <w:sz w:val="26"/>
        </w:rPr>
        <w:t xml:space="preserve">The </w:t>
      </w:r>
      <w:proofErr w:type="spellStart"/>
      <w:r w:rsidRPr="002810EE">
        <w:rPr>
          <w:rFonts w:ascii="Bookman Old Style" w:hAnsi="Bookman Old Style"/>
          <w:i/>
          <w:sz w:val="26"/>
        </w:rPr>
        <w:t>adequate,minimum</w:t>
      </w:r>
      <w:proofErr w:type="spellEnd"/>
      <w:r w:rsidRPr="002810EE">
        <w:rPr>
          <w:rFonts w:ascii="Bookman Old Style" w:hAnsi="Bookman Old Style"/>
          <w:i/>
          <w:sz w:val="26"/>
        </w:rPr>
        <w:t>, working conditions include</w:t>
      </w:r>
      <w:r>
        <w:rPr>
          <w:rFonts w:ascii="Bookman Old Style" w:hAnsi="Bookman Old Style"/>
          <w:i/>
          <w:sz w:val="26"/>
        </w:rPr>
        <w:t>,</w:t>
      </w:r>
      <w:r w:rsidRPr="002810EE">
        <w:rPr>
          <w:rFonts w:ascii="Bookman Old Style" w:hAnsi="Bookman Old Style"/>
          <w:i/>
          <w:sz w:val="26"/>
        </w:rPr>
        <w:t xml:space="preserve"> Access to sanitation, drinking water, First Aid and emergency exits, Safety </w:t>
      </w:r>
      <w:r w:rsidRPr="002810EE">
        <w:rPr>
          <w:rFonts w:ascii="Bookman Old Style" w:hAnsi="Bookman Old Style"/>
          <w:i/>
          <w:sz w:val="26"/>
        </w:rPr>
        <w:lastRenderedPageBreak/>
        <w:t>procedures for hazardous activities and accident prevention, Proper maintenance of all machinery, Provision of meal breaks, Adequate ventilation, Temperature controls and lighting, etc. The Residential or resting facilities, if provided, shall also meet these minimum conditions.</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Environmental</w:t>
      </w:r>
    </w:p>
    <w:p w:rsidR="00291C74" w:rsidRDefault="00291C74" w:rsidP="00291C74">
      <w:pPr>
        <w:ind w:left="360"/>
        <w:jc w:val="both"/>
        <w:rPr>
          <w:rFonts w:ascii="Bookman Old Style" w:hAnsi="Bookman Old Style"/>
          <w:sz w:val="26"/>
        </w:rPr>
      </w:pPr>
      <w:r w:rsidRPr="002810EE">
        <w:rPr>
          <w:rFonts w:ascii="Bookman Old Style" w:hAnsi="Bookman Old Style"/>
          <w:sz w:val="26"/>
        </w:rPr>
        <w:t>Members shall comply with all applicable environmental laws and regulations. This shall include having processes in place to ensure compliance with those regulations relating to the handling, recycling, and disposal of dangerous or hazardous materials.</w:t>
      </w:r>
    </w:p>
    <w:p w:rsidR="00291C74" w:rsidRPr="002810EE" w:rsidRDefault="00291C74" w:rsidP="00291C74">
      <w:pPr>
        <w:ind w:left="360"/>
        <w:jc w:val="both"/>
        <w:rPr>
          <w:rFonts w:ascii="Bookman Old Style" w:hAnsi="Bookman Old Style"/>
          <w:sz w:val="26"/>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rPr>
      </w:pPr>
      <w:r w:rsidRPr="002810EE">
        <w:rPr>
          <w:rFonts w:ascii="Bookman Old Style" w:hAnsi="Bookman Old Style"/>
          <w:b/>
          <w:i/>
          <w:sz w:val="26"/>
        </w:rPr>
        <w:t>Compliance to applicable Laws for export products</w:t>
      </w:r>
    </w:p>
    <w:p w:rsidR="00291C74" w:rsidRDefault="00291C74" w:rsidP="00291C74">
      <w:pPr>
        <w:ind w:left="360"/>
        <w:jc w:val="both"/>
        <w:rPr>
          <w:rFonts w:ascii="Bookman Old Style" w:hAnsi="Bookman Old Style"/>
          <w:szCs w:val="26"/>
          <w:lang w:eastAsia="en-IN"/>
        </w:rPr>
      </w:pPr>
      <w:r w:rsidRPr="002810EE">
        <w:rPr>
          <w:rFonts w:ascii="Bookman Old Style" w:hAnsi="Bookman Old Style"/>
          <w:sz w:val="26"/>
        </w:rPr>
        <w:t>In case of export products, members shall comply with all applicable laws for export products like REACH (</w:t>
      </w:r>
      <w:r w:rsidRPr="002810EE">
        <w:rPr>
          <w:rFonts w:ascii="Bookman Old Style" w:hAnsi="Bookman Old Style"/>
          <w:bCs/>
          <w:sz w:val="25"/>
          <w:szCs w:val="19"/>
        </w:rPr>
        <w:t>R</w:t>
      </w:r>
      <w:r w:rsidRPr="002810EE">
        <w:rPr>
          <w:rFonts w:ascii="Bookman Old Style" w:hAnsi="Bookman Old Style"/>
          <w:b/>
          <w:sz w:val="25"/>
          <w:szCs w:val="19"/>
        </w:rPr>
        <w:t xml:space="preserve">egistration, </w:t>
      </w:r>
      <w:r w:rsidRPr="002810EE">
        <w:rPr>
          <w:rFonts w:ascii="Bookman Old Style" w:hAnsi="Bookman Old Style"/>
          <w:bCs/>
          <w:sz w:val="25"/>
          <w:szCs w:val="19"/>
        </w:rPr>
        <w:t>E</w:t>
      </w:r>
      <w:r w:rsidRPr="002810EE">
        <w:rPr>
          <w:rFonts w:ascii="Bookman Old Style" w:hAnsi="Bookman Old Style"/>
          <w:b/>
          <w:sz w:val="25"/>
          <w:szCs w:val="19"/>
        </w:rPr>
        <w:t xml:space="preserve">valuation, </w:t>
      </w:r>
      <w:r w:rsidRPr="002810EE">
        <w:rPr>
          <w:rFonts w:ascii="Bookman Old Style" w:hAnsi="Bookman Old Style"/>
          <w:bCs/>
          <w:sz w:val="25"/>
          <w:szCs w:val="19"/>
        </w:rPr>
        <w:t>A</w:t>
      </w:r>
      <w:r w:rsidRPr="002810EE">
        <w:rPr>
          <w:rFonts w:ascii="Bookman Old Style" w:hAnsi="Bookman Old Style"/>
          <w:b/>
          <w:sz w:val="25"/>
          <w:szCs w:val="19"/>
        </w:rPr>
        <w:t xml:space="preserve">uthorization and Restriction of </w:t>
      </w:r>
      <w:r w:rsidRPr="002810EE">
        <w:rPr>
          <w:rFonts w:ascii="Bookman Old Style" w:hAnsi="Bookman Old Style"/>
          <w:bCs/>
          <w:sz w:val="25"/>
          <w:szCs w:val="19"/>
        </w:rPr>
        <w:t>Ch</w:t>
      </w:r>
      <w:r w:rsidRPr="002810EE">
        <w:rPr>
          <w:rFonts w:ascii="Bookman Old Style" w:hAnsi="Bookman Old Style"/>
          <w:b/>
          <w:sz w:val="25"/>
          <w:szCs w:val="19"/>
        </w:rPr>
        <w:t>emical substances)</w:t>
      </w:r>
      <w:r w:rsidRPr="002810EE">
        <w:rPr>
          <w:rFonts w:ascii="Bookman Old Style" w:hAnsi="Bookman Old Style"/>
          <w:sz w:val="26"/>
        </w:rPr>
        <w:t xml:space="preserve"> regulation of the European Union,  </w:t>
      </w:r>
      <w:r w:rsidRPr="002810EE">
        <w:rPr>
          <w:rFonts w:ascii="Bookman Old Style" w:hAnsi="Bookman Old Style"/>
          <w:szCs w:val="26"/>
          <w:lang w:eastAsia="en-IN"/>
        </w:rPr>
        <w:t>Consumer Safety Product Improvement Act (CPSIA) of USA, wherever applicable to leather, leather products and footwear.</w:t>
      </w:r>
    </w:p>
    <w:p w:rsidR="00291C74" w:rsidRPr="002810EE" w:rsidRDefault="00291C74" w:rsidP="00291C74">
      <w:pPr>
        <w:ind w:left="360"/>
        <w:jc w:val="both"/>
        <w:rPr>
          <w:rFonts w:ascii="Bookman Old Style" w:hAnsi="Bookman Old Style"/>
          <w:szCs w:val="26"/>
          <w:lang w:eastAsia="en-IN"/>
        </w:rPr>
      </w:pPr>
    </w:p>
    <w:p w:rsidR="00291C74" w:rsidRPr="002810EE" w:rsidRDefault="00291C74" w:rsidP="00291C74">
      <w:pPr>
        <w:pStyle w:val="ListParagraph"/>
        <w:numPr>
          <w:ilvl w:val="0"/>
          <w:numId w:val="1"/>
        </w:numPr>
        <w:spacing w:line="240" w:lineRule="auto"/>
        <w:ind w:left="360"/>
        <w:contextualSpacing/>
        <w:jc w:val="both"/>
        <w:rPr>
          <w:rFonts w:ascii="Bookman Old Style" w:hAnsi="Bookman Old Style"/>
          <w:b/>
          <w:i/>
          <w:sz w:val="26"/>
          <w:szCs w:val="26"/>
          <w:lang w:eastAsia="en-IN"/>
        </w:rPr>
      </w:pPr>
      <w:r w:rsidRPr="002810EE">
        <w:rPr>
          <w:rFonts w:ascii="Bookman Old Style" w:hAnsi="Bookman Old Style"/>
          <w:b/>
          <w:i/>
          <w:sz w:val="26"/>
          <w:szCs w:val="26"/>
          <w:lang w:eastAsia="en-IN"/>
        </w:rPr>
        <w:t>Violation of Code of Conduct:</w:t>
      </w:r>
    </w:p>
    <w:p w:rsidR="00291C74" w:rsidRPr="002810EE" w:rsidRDefault="00291C74" w:rsidP="00291C74">
      <w:pPr>
        <w:pStyle w:val="ListParagraph"/>
        <w:spacing w:line="240" w:lineRule="auto"/>
        <w:ind w:left="360"/>
        <w:jc w:val="both"/>
        <w:rPr>
          <w:rFonts w:ascii="Bookman Old Style" w:hAnsi="Bookman Old Style"/>
          <w:b/>
          <w:i/>
          <w:sz w:val="26"/>
          <w:szCs w:val="26"/>
          <w:lang w:eastAsia="en-IN"/>
        </w:rPr>
      </w:pPr>
    </w:p>
    <w:p w:rsidR="00291C74" w:rsidRPr="002810EE" w:rsidRDefault="00291C74" w:rsidP="00291C74">
      <w:pPr>
        <w:pStyle w:val="ListParagraph"/>
        <w:spacing w:after="150" w:line="240" w:lineRule="auto"/>
        <w:ind w:left="360"/>
        <w:jc w:val="both"/>
        <w:rPr>
          <w:rFonts w:ascii="Bookman Old Style" w:eastAsia="Times New Roman" w:hAnsi="Bookman Old Style" w:cs="Arial"/>
          <w:color w:val="000000" w:themeColor="text1"/>
          <w:sz w:val="26"/>
          <w:szCs w:val="21"/>
        </w:rPr>
      </w:pPr>
      <w:r w:rsidRPr="002810EE">
        <w:rPr>
          <w:rFonts w:ascii="Bookman Old Style" w:eastAsia="Times New Roman" w:hAnsi="Bookman Old Style" w:cs="Arial"/>
          <w:color w:val="000000" w:themeColor="text1"/>
          <w:sz w:val="26"/>
          <w:szCs w:val="21"/>
        </w:rPr>
        <w:t>It will be the responsibility of each member to ensure strict compliance of the Code of Conduct. The Code of Conduct shall apply to all members of the Council including Associate Members</w:t>
      </w:r>
    </w:p>
    <w:p w:rsidR="00291C74" w:rsidRPr="002810EE" w:rsidRDefault="00291C74" w:rsidP="00291C74">
      <w:pPr>
        <w:pStyle w:val="ListParagraph"/>
        <w:spacing w:after="150" w:line="240" w:lineRule="auto"/>
        <w:ind w:left="360"/>
        <w:jc w:val="both"/>
        <w:rPr>
          <w:rFonts w:ascii="Bookman Old Style" w:eastAsia="Times New Roman" w:hAnsi="Bookman Old Style" w:cs="Arial"/>
          <w:color w:val="000000" w:themeColor="text1"/>
          <w:sz w:val="26"/>
          <w:szCs w:val="21"/>
        </w:rPr>
      </w:pPr>
      <w:r w:rsidRPr="002810EE">
        <w:rPr>
          <w:rFonts w:ascii="Bookman Old Style" w:eastAsia="Times New Roman" w:hAnsi="Bookman Old Style" w:cs="Arial"/>
          <w:color w:val="000000" w:themeColor="text1"/>
          <w:sz w:val="26"/>
          <w:szCs w:val="21"/>
        </w:rPr>
        <w:t xml:space="preserve">In case of violation of the Code of Conduct, a Show-Cause Notice will be issued to the members by giving him/her an opportunity to explain the circumstances under which the violation has been made. The explanation so received will be placed before the Committee of Administration to enable it to decide action to be taken in respect of that violation. </w:t>
      </w:r>
    </w:p>
    <w:p w:rsidR="00291C74" w:rsidRPr="002810EE" w:rsidRDefault="00291C74" w:rsidP="00291C74">
      <w:pPr>
        <w:pStyle w:val="ListParagraph"/>
        <w:spacing w:after="150" w:line="240" w:lineRule="auto"/>
        <w:ind w:left="360"/>
        <w:jc w:val="both"/>
        <w:rPr>
          <w:rFonts w:ascii="Bookman Old Style" w:eastAsia="Times New Roman" w:hAnsi="Bookman Old Style" w:cs="Arial"/>
          <w:color w:val="000000" w:themeColor="text1"/>
          <w:sz w:val="26"/>
          <w:szCs w:val="21"/>
        </w:rPr>
      </w:pPr>
    </w:p>
    <w:p w:rsidR="00291C74" w:rsidRPr="002810EE" w:rsidRDefault="00291C74" w:rsidP="00291C74">
      <w:pPr>
        <w:pStyle w:val="ListParagraph"/>
        <w:spacing w:after="150" w:line="240" w:lineRule="auto"/>
        <w:ind w:left="360"/>
        <w:jc w:val="both"/>
        <w:rPr>
          <w:rFonts w:ascii="Bookman Old Style" w:eastAsia="Times New Roman" w:hAnsi="Bookman Old Style" w:cs="Arial"/>
          <w:color w:val="000000" w:themeColor="text1"/>
          <w:sz w:val="26"/>
          <w:szCs w:val="21"/>
        </w:rPr>
      </w:pPr>
      <w:r w:rsidRPr="002810EE">
        <w:rPr>
          <w:rFonts w:ascii="Bookman Old Style" w:eastAsia="Times New Roman" w:hAnsi="Bookman Old Style" w:cs="Arial"/>
          <w:color w:val="000000" w:themeColor="text1"/>
          <w:sz w:val="26"/>
          <w:szCs w:val="21"/>
        </w:rPr>
        <w:t>In case a member is found guilty of violating any of the terms of the Code of Conduct, the Chairman and Executive Director, Council for Leather Exports will put the case before the Committee of Administration for a decision regarding de-registration of such members.</w:t>
      </w:r>
    </w:p>
    <w:p w:rsidR="00790123" w:rsidRDefault="00E502C2"/>
    <w:sectPr w:rsidR="00790123" w:rsidSect="00E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74D4"/>
    <w:multiLevelType w:val="hybridMultilevel"/>
    <w:tmpl w:val="F126D21A"/>
    <w:lvl w:ilvl="0" w:tplc="F0DCE0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C74"/>
    <w:rsid w:val="00216A16"/>
    <w:rsid w:val="00291C74"/>
    <w:rsid w:val="0038564A"/>
    <w:rsid w:val="004F7337"/>
    <w:rsid w:val="00BC69CE"/>
    <w:rsid w:val="00D31246"/>
    <w:rsid w:val="00E46296"/>
    <w:rsid w:val="00E5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1,Dot pt,F5 List Paragraph,Colorful List - Accent 11,No Spacing1,List Paragraph Char Char Char,Indicator Text,Numbered Para 1,Bullet 1,Bullet Points,List Paragraph2,MAIN CONTENT,OBC Bullet,List Paragraph12,List Paragraph11"/>
    <w:basedOn w:val="Normal"/>
    <w:link w:val="ListParagraphChar"/>
    <w:qFormat/>
    <w:rsid w:val="00291C74"/>
    <w:pPr>
      <w:spacing w:after="200" w:line="276" w:lineRule="auto"/>
      <w:ind w:left="720"/>
    </w:pPr>
    <w:rPr>
      <w:rFonts w:ascii="Calibri" w:eastAsia="Calibri" w:hAnsi="Calibri"/>
      <w:sz w:val="22"/>
      <w:szCs w:val="22"/>
    </w:rPr>
  </w:style>
  <w:style w:type="paragraph" w:styleId="NoSpacing">
    <w:name w:val="No Spacing"/>
    <w:link w:val="NoSpacingChar"/>
    <w:qFormat/>
    <w:rsid w:val="00291C7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locked/>
    <w:rsid w:val="00291C74"/>
    <w:rPr>
      <w:rFonts w:ascii="Calibri" w:eastAsia="Calibri" w:hAnsi="Calibri" w:cs="Times New Roman"/>
    </w:rPr>
  </w:style>
  <w:style w:type="character" w:customStyle="1" w:styleId="ListParagraphChar">
    <w:name w:val="List Paragraph Char"/>
    <w:aliases w:val="A1 Char,Dot pt Char,F5 List Paragraph Char,Colorful List - Accent 11 Char,No Spacing1 Char,List Paragraph Char Char Char Char,Indicator Text Char,Numbered Para 1 Char,Bullet 1 Char,Bullet Points Char,List Paragraph2 Char"/>
    <w:link w:val="ListParagraph"/>
    <w:rsid w:val="00291C7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2018-09-04T05:21:00Z</cp:lastPrinted>
  <dcterms:created xsi:type="dcterms:W3CDTF">2018-09-04T05:20:00Z</dcterms:created>
  <dcterms:modified xsi:type="dcterms:W3CDTF">2018-09-05T05:20:00Z</dcterms:modified>
</cp:coreProperties>
</file>