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E45B" w14:textId="77777777" w:rsidR="009A47D8" w:rsidRDefault="00000000">
      <w:pPr>
        <w:spacing w:line="276" w:lineRule="auto"/>
        <w:jc w:val="center"/>
        <w:rPr>
          <w:b/>
          <w:bCs/>
          <w:sz w:val="28"/>
          <w:szCs w:val="28"/>
        </w:rPr>
      </w:pPr>
      <w:r>
        <w:rPr>
          <w:b/>
          <w:bCs/>
          <w:sz w:val="28"/>
          <w:szCs w:val="28"/>
        </w:rPr>
        <w:t>Information on the Procedure of Temporary Importation (admission) to the Russian Federation of goods intended for demonstration at exhibitions</w:t>
      </w:r>
    </w:p>
    <w:p w14:paraId="62A14AE7" w14:textId="77777777" w:rsidR="009A47D8" w:rsidRDefault="009A47D8">
      <w:pPr>
        <w:spacing w:line="276" w:lineRule="auto"/>
        <w:jc w:val="center"/>
        <w:rPr>
          <w:sz w:val="28"/>
          <w:szCs w:val="28"/>
        </w:rPr>
      </w:pPr>
    </w:p>
    <w:p w14:paraId="60C36392" w14:textId="77777777" w:rsidR="009A47D8" w:rsidRDefault="00000000">
      <w:pPr>
        <w:spacing w:line="276" w:lineRule="auto"/>
        <w:jc w:val="both"/>
        <w:rPr>
          <w:sz w:val="28"/>
          <w:szCs w:val="28"/>
        </w:rPr>
      </w:pPr>
      <w:r>
        <w:rPr>
          <w:sz w:val="28"/>
          <w:szCs w:val="28"/>
        </w:rPr>
        <w:tab/>
        <w:t>In accordance with Chapter 19 of the Customs Code of the Eurasian Economic Union (hereinafter referred to as “EAEU CC”) the goods transferred through the customs border are placed under a specific customs procedure at the person’s option in the order and on the terms stipulated in the EAEU CC and in the legislation of the member states of the Eurasian Economic Union (hereinafter referred to as “EAEU”). The person has the right to change the selected customs procedure to another in accordance with the EAEU CC.</w:t>
      </w:r>
    </w:p>
    <w:p w14:paraId="42CFC835" w14:textId="77777777" w:rsidR="009A47D8" w:rsidRDefault="00000000">
      <w:pPr>
        <w:spacing w:line="276" w:lineRule="auto"/>
        <w:jc w:val="both"/>
        <w:rPr>
          <w:sz w:val="28"/>
          <w:szCs w:val="28"/>
        </w:rPr>
      </w:pPr>
      <w:r>
        <w:rPr>
          <w:sz w:val="28"/>
          <w:szCs w:val="28"/>
        </w:rPr>
        <w:tab/>
        <w:t>The list of documents confirming information declared in the customs declaration is stipulated in article 108 of the EAEU CC.</w:t>
      </w:r>
    </w:p>
    <w:p w14:paraId="38406FDF" w14:textId="77777777" w:rsidR="009A47D8" w:rsidRDefault="00000000">
      <w:pPr>
        <w:spacing w:line="276" w:lineRule="auto"/>
        <w:jc w:val="both"/>
        <w:rPr>
          <w:sz w:val="28"/>
          <w:szCs w:val="28"/>
        </w:rPr>
      </w:pPr>
      <w:r>
        <w:rPr>
          <w:sz w:val="28"/>
          <w:szCs w:val="28"/>
        </w:rPr>
        <w:tab/>
        <w:t>Customs declaration of goods intended for demonstration at exhibitions may be performed on the basis of:</w:t>
      </w:r>
    </w:p>
    <w:p w14:paraId="1B1096F4" w14:textId="77777777" w:rsidR="009A47D8" w:rsidRDefault="00000000">
      <w:pPr>
        <w:spacing w:line="276" w:lineRule="auto"/>
        <w:jc w:val="both"/>
        <w:rPr>
          <w:sz w:val="28"/>
          <w:szCs w:val="28"/>
        </w:rPr>
      </w:pPr>
      <w:r>
        <w:rPr>
          <w:sz w:val="28"/>
          <w:szCs w:val="28"/>
        </w:rPr>
        <w:tab/>
      </w:r>
      <w:r>
        <w:rPr>
          <w:b/>
          <w:bCs/>
          <w:sz w:val="28"/>
          <w:szCs w:val="28"/>
        </w:rPr>
        <w:t>1) the Declaration on Goods (hereinafter referred to as “DG”)</w:t>
      </w:r>
    </w:p>
    <w:p w14:paraId="667BD96B" w14:textId="77777777" w:rsidR="009A47D8" w:rsidRDefault="00000000">
      <w:pPr>
        <w:spacing w:line="276" w:lineRule="auto"/>
        <w:jc w:val="both"/>
        <w:rPr>
          <w:sz w:val="28"/>
          <w:szCs w:val="28"/>
        </w:rPr>
      </w:pPr>
      <w:r>
        <w:rPr>
          <w:sz w:val="28"/>
          <w:szCs w:val="28"/>
        </w:rPr>
        <w:tab/>
        <w:t>If the goods are placed under customs procedures, except for the customs procedure of customs transit, the DG is filed to the Customs Authority.</w:t>
      </w:r>
    </w:p>
    <w:p w14:paraId="3850C25A" w14:textId="77777777" w:rsidR="009A47D8" w:rsidRDefault="00000000">
      <w:pPr>
        <w:spacing w:line="276" w:lineRule="auto"/>
        <w:jc w:val="both"/>
        <w:rPr>
          <w:sz w:val="28"/>
          <w:szCs w:val="28"/>
        </w:rPr>
      </w:pPr>
      <w:r>
        <w:rPr>
          <w:sz w:val="28"/>
          <w:szCs w:val="28"/>
        </w:rPr>
        <w:tab/>
        <w:t>DG form and Instructions on the Order of Filing the DG are approved by the Decision No. 257 of the Commission of the Customs Union dated 20 May 2010.</w:t>
      </w:r>
    </w:p>
    <w:p w14:paraId="0D3CC06E" w14:textId="77777777" w:rsidR="009A47D8" w:rsidRDefault="00000000">
      <w:pPr>
        <w:spacing w:line="276" w:lineRule="auto"/>
        <w:jc w:val="both"/>
        <w:rPr>
          <w:sz w:val="28"/>
          <w:szCs w:val="28"/>
        </w:rPr>
      </w:pPr>
      <w:r>
        <w:rPr>
          <w:sz w:val="28"/>
          <w:szCs w:val="28"/>
        </w:rPr>
        <w:tab/>
        <w:t>According to clause 1 of Article 224 of the EAEU CC, before the expiration of the period of validity of the customs procedure of temporary importation (admission) established by customs authority, the customs procedure may be completed by placing temporarily imported goods under the customs procedure of re-export.</w:t>
      </w:r>
    </w:p>
    <w:p w14:paraId="6EAEE53E" w14:textId="77777777" w:rsidR="009A47D8" w:rsidRDefault="009A47D8">
      <w:pPr>
        <w:spacing w:line="276" w:lineRule="auto"/>
        <w:jc w:val="both"/>
        <w:rPr>
          <w:sz w:val="28"/>
          <w:szCs w:val="28"/>
        </w:rPr>
      </w:pPr>
    </w:p>
    <w:p w14:paraId="469D7EF3" w14:textId="77777777" w:rsidR="009A47D8" w:rsidRDefault="00000000">
      <w:pPr>
        <w:spacing w:line="276" w:lineRule="auto"/>
        <w:jc w:val="both"/>
        <w:rPr>
          <w:b/>
          <w:bCs/>
          <w:sz w:val="28"/>
          <w:szCs w:val="28"/>
        </w:rPr>
      </w:pPr>
      <w:r>
        <w:rPr>
          <w:b/>
          <w:bCs/>
          <w:sz w:val="28"/>
          <w:szCs w:val="28"/>
        </w:rPr>
        <w:tab/>
        <w:t>2) the ATA Carnet</w:t>
      </w:r>
    </w:p>
    <w:p w14:paraId="231BFAD5" w14:textId="77777777" w:rsidR="009A47D8" w:rsidRDefault="00000000">
      <w:pPr>
        <w:spacing w:line="276" w:lineRule="auto"/>
        <w:jc w:val="both"/>
        <w:rPr>
          <w:sz w:val="28"/>
          <w:szCs w:val="28"/>
        </w:rPr>
      </w:pPr>
      <w:r>
        <w:rPr>
          <w:sz w:val="28"/>
          <w:szCs w:val="28"/>
        </w:rPr>
        <w:tab/>
        <w:t>The Russian Federation has acceded to the Customs Convention on the ATA Carnet for the Temporary Admission of the Goods dated 6 December 1961 and the Convention on Temporary Admission dated 26 June 1990 with the adoption of a number of applications.</w:t>
      </w:r>
    </w:p>
    <w:p w14:paraId="03728CF5" w14:textId="77777777" w:rsidR="009A47D8" w:rsidRDefault="00000000">
      <w:pPr>
        <w:spacing w:line="276" w:lineRule="auto"/>
        <w:jc w:val="both"/>
        <w:rPr>
          <w:sz w:val="28"/>
          <w:szCs w:val="28"/>
        </w:rPr>
      </w:pPr>
      <w:r>
        <w:rPr>
          <w:sz w:val="28"/>
          <w:szCs w:val="28"/>
        </w:rPr>
        <w:tab/>
        <w:t xml:space="preserve">The requirements for customs declaration of goods based on the ATA Carnet imposed by the Russian Customs Authorities are stated in the Order No. 2675 of the Federal Customs Service of Russia dated 28 December 2012 on Approval of Methodological Recommendations on the Application of the ATA Carnet, prepared on </w:t>
      </w:r>
      <w:r>
        <w:rPr>
          <w:sz w:val="28"/>
          <w:szCs w:val="28"/>
        </w:rPr>
        <w:lastRenderedPageBreak/>
        <w:t>the basis of provisions of the Convention on Temporary Admission dated 26 June 1990 and the Customs Convention on the ATA Carnet for the Temporary Admission of the Goods dated 6 December 1961.</w:t>
      </w:r>
    </w:p>
    <w:p w14:paraId="5C9642BB" w14:textId="77777777" w:rsidR="009A47D8" w:rsidRDefault="00000000">
      <w:pPr>
        <w:spacing w:line="276" w:lineRule="auto"/>
        <w:jc w:val="both"/>
        <w:rPr>
          <w:sz w:val="28"/>
          <w:szCs w:val="28"/>
        </w:rPr>
      </w:pPr>
      <w:r>
        <w:rPr>
          <w:sz w:val="28"/>
          <w:szCs w:val="28"/>
        </w:rPr>
        <w:tab/>
        <w:t>At this point, clearance of goods based on the ATA Carnet is processed in customs bodies determined by the order № 223n of the Ministry of Finance of Russia dated 11 December 2019 “On establishing the competence of customs authorities to perform customs operations with the goods transported with the use of ATA Carnet, including power of customs authorities to register customs declarations”.</w:t>
      </w:r>
    </w:p>
    <w:p w14:paraId="0B8AF4D3" w14:textId="77777777" w:rsidR="009A47D8" w:rsidRDefault="009A47D8">
      <w:pPr>
        <w:spacing w:line="276" w:lineRule="auto"/>
        <w:jc w:val="both"/>
        <w:rPr>
          <w:sz w:val="28"/>
          <w:szCs w:val="28"/>
        </w:rPr>
      </w:pPr>
    </w:p>
    <w:p w14:paraId="6CDF03EA" w14:textId="77777777" w:rsidR="009A47D8" w:rsidRDefault="00000000">
      <w:pPr>
        <w:spacing w:line="276" w:lineRule="auto"/>
        <w:jc w:val="both"/>
        <w:rPr>
          <w:sz w:val="28"/>
          <w:szCs w:val="28"/>
        </w:rPr>
      </w:pPr>
      <w:r>
        <w:rPr>
          <w:sz w:val="28"/>
          <w:szCs w:val="28"/>
        </w:rPr>
        <w:tab/>
      </w:r>
      <w:r>
        <w:rPr>
          <w:b/>
          <w:bCs/>
          <w:sz w:val="28"/>
          <w:szCs w:val="28"/>
        </w:rPr>
        <w:t>3)</w:t>
      </w:r>
      <w:r>
        <w:rPr>
          <w:sz w:val="28"/>
          <w:szCs w:val="28"/>
        </w:rPr>
        <w:t xml:space="preserve"> </w:t>
      </w:r>
      <w:r>
        <w:rPr>
          <w:b/>
          <w:bCs/>
          <w:sz w:val="28"/>
          <w:szCs w:val="28"/>
        </w:rPr>
        <w:t>the List of Goods</w:t>
      </w:r>
      <w:r>
        <w:rPr>
          <w:sz w:val="28"/>
          <w:szCs w:val="28"/>
        </w:rPr>
        <w:t xml:space="preserve"> established by the Instruction on the Procedure of Application of Transport, Commercial and (or) Other documents as the DG approved by the Decision No. 263 of the Commission of the Customs Union dated 20 May 2010 (hereinafter referred to as List of Goods, Instruction).</w:t>
      </w:r>
    </w:p>
    <w:p w14:paraId="42A609DD" w14:textId="77777777" w:rsidR="009A47D8" w:rsidRDefault="00000000">
      <w:pPr>
        <w:spacing w:line="276" w:lineRule="auto"/>
        <w:jc w:val="both"/>
        <w:rPr>
          <w:sz w:val="28"/>
          <w:szCs w:val="28"/>
        </w:rPr>
      </w:pPr>
      <w:r>
        <w:rPr>
          <w:sz w:val="28"/>
          <w:szCs w:val="28"/>
        </w:rPr>
        <w:tab/>
        <w:t xml:space="preserve">If a full conditional exemption from customs duties and taxes is granted in respect of goods intended for demonstration at exhibitions, it is possible to declare the customs procedure of temporary importation (admission) or temporary export for up to one year, applying the List of Goods.   </w:t>
      </w:r>
    </w:p>
    <w:p w14:paraId="76D545D0" w14:textId="77777777" w:rsidR="009A47D8" w:rsidRDefault="00000000">
      <w:pPr>
        <w:spacing w:line="276" w:lineRule="auto"/>
        <w:jc w:val="both"/>
        <w:rPr>
          <w:sz w:val="28"/>
          <w:szCs w:val="28"/>
        </w:rPr>
      </w:pPr>
      <w:r>
        <w:rPr>
          <w:sz w:val="28"/>
          <w:szCs w:val="28"/>
        </w:rPr>
        <w:tab/>
        <w:t>The list of goods temporarily imported with full conditional exemption from customs duties and taxes is established by the Decision № 331 of the Customs Union Commission dated 18 June 2010 “On approval of the list of goods temporarily imported with full conditional exemption from customs duties and taxes, as well as the conditions of such exemption, including its deadlines”.</w:t>
      </w:r>
    </w:p>
    <w:p w14:paraId="6EE4374B" w14:textId="77777777" w:rsidR="009A47D8" w:rsidRDefault="00000000">
      <w:pPr>
        <w:spacing w:line="276" w:lineRule="auto"/>
        <w:jc w:val="both"/>
        <w:rPr>
          <w:sz w:val="28"/>
          <w:szCs w:val="28"/>
        </w:rPr>
      </w:pPr>
      <w:r>
        <w:rPr>
          <w:sz w:val="28"/>
          <w:szCs w:val="28"/>
        </w:rPr>
        <w:tab/>
        <w:t>The List of Goods shall be filled out in two copies in accordance with the Form specified in Annex 3 of the Instruction. If the goods are placed under customs procedures that are providing for their export from the EAEU territory, the List of Goods shall be filled out in three copies.</w:t>
      </w:r>
    </w:p>
    <w:p w14:paraId="442A2677" w14:textId="77777777" w:rsidR="009A47D8" w:rsidRDefault="00000000">
      <w:pPr>
        <w:spacing w:line="276" w:lineRule="auto"/>
        <w:jc w:val="both"/>
        <w:rPr>
          <w:sz w:val="28"/>
          <w:szCs w:val="28"/>
        </w:rPr>
      </w:pPr>
      <w:r>
        <w:rPr>
          <w:sz w:val="28"/>
          <w:szCs w:val="28"/>
        </w:rPr>
        <w:tab/>
        <w:t>In case of sale of the samples demonstrated at the exhibition, they shall be subject to placement under the customs procedure of release for domestic consumption with payment of customs duties and taxes in full (under the customs procedure of export in case of their earlier placement under the customs procedure of temporary export).</w:t>
      </w:r>
    </w:p>
    <w:p w14:paraId="20128491" w14:textId="77777777" w:rsidR="009A47D8" w:rsidRDefault="00000000">
      <w:pPr>
        <w:spacing w:line="276" w:lineRule="auto"/>
        <w:jc w:val="both"/>
        <w:rPr>
          <w:sz w:val="28"/>
          <w:szCs w:val="28"/>
        </w:rPr>
      </w:pPr>
      <w:r>
        <w:rPr>
          <w:sz w:val="28"/>
          <w:szCs w:val="28"/>
        </w:rPr>
        <w:tab/>
        <w:t>In case of customs declaration of goods intended for demonstration at exhibitions, prohibitions and restrictions are applied in accordance with Article 7 of the EAEU CC.</w:t>
      </w:r>
    </w:p>
    <w:p w14:paraId="01746048" w14:textId="77777777" w:rsidR="009A47D8" w:rsidRDefault="00000000">
      <w:pPr>
        <w:spacing w:line="276" w:lineRule="auto"/>
        <w:jc w:val="both"/>
      </w:pPr>
      <w:r>
        <w:lastRenderedPageBreak/>
        <w:tab/>
      </w:r>
      <w:r>
        <w:rPr>
          <w:sz w:val="28"/>
          <w:szCs w:val="28"/>
        </w:rPr>
        <w:t>The authorization-based procedure for the importation into the EAEU customs territory is set forth for certain categories of goods by the Decision No. 30 of the Board of the Eurasian Economic Commission dated 21 April 2015 “On Non-Tariff Regulation”.</w:t>
      </w:r>
    </w:p>
    <w:p w14:paraId="689E6712" w14:textId="77777777" w:rsidR="009A47D8" w:rsidRDefault="00000000">
      <w:pPr>
        <w:spacing w:line="276" w:lineRule="auto"/>
        <w:jc w:val="both"/>
        <w:rPr>
          <w:sz w:val="28"/>
          <w:szCs w:val="28"/>
        </w:rPr>
      </w:pPr>
      <w:r>
        <w:rPr>
          <w:sz w:val="28"/>
          <w:szCs w:val="28"/>
        </w:rPr>
        <w:tab/>
        <w:t>In order to obtain an authorization document, it is necessary to apply to the state body authorized to issue the relevant document.</w:t>
      </w:r>
    </w:p>
    <w:p w14:paraId="1FE5113B" w14:textId="77777777" w:rsidR="009A47D8" w:rsidRDefault="00000000">
      <w:pPr>
        <w:spacing w:line="276" w:lineRule="auto"/>
        <w:jc w:val="both"/>
        <w:rPr>
          <w:sz w:val="28"/>
          <w:szCs w:val="28"/>
        </w:rPr>
      </w:pPr>
      <w:r>
        <w:rPr>
          <w:sz w:val="28"/>
          <w:szCs w:val="28"/>
        </w:rPr>
        <w:t xml:space="preserve"> </w:t>
      </w:r>
    </w:p>
    <w:sectPr w:rsidR="009A47D8">
      <w:headerReference w:type="default" r:id="rId6"/>
      <w:footerReference w:type="default" r:id="rId7"/>
      <w:pgSz w:w="12240" w:h="15840"/>
      <w:pgMar w:top="1700" w:right="1134" w:bottom="1693" w:left="1134" w:header="975"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AA08" w14:textId="77777777" w:rsidR="007141C7" w:rsidRDefault="007141C7">
      <w:r>
        <w:separator/>
      </w:r>
    </w:p>
  </w:endnote>
  <w:endnote w:type="continuationSeparator" w:id="0">
    <w:p w14:paraId="7959D812" w14:textId="77777777" w:rsidR="007141C7" w:rsidRDefault="0071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5F69" w14:textId="77777777" w:rsidR="009A47D8" w:rsidRDefault="00000000">
    <w:pPr>
      <w:pStyle w:val="Footer"/>
      <w:jc w:val="right"/>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1E81" w14:textId="77777777" w:rsidR="007141C7" w:rsidRDefault="007141C7">
      <w:r>
        <w:separator/>
      </w:r>
    </w:p>
  </w:footnote>
  <w:footnote w:type="continuationSeparator" w:id="0">
    <w:p w14:paraId="56B6E073" w14:textId="77777777" w:rsidR="007141C7" w:rsidRDefault="00714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2A85" w14:textId="77777777" w:rsidR="009A47D8" w:rsidRDefault="00000000">
    <w:pPr>
      <w:pStyle w:val="Header"/>
      <w:jc w:val="right"/>
      <w:rPr>
        <w:i/>
        <w:iCs/>
      </w:rPr>
    </w:pPr>
    <w:r>
      <w:rPr>
        <w:i/>
        <w:iCs/>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D8"/>
    <w:rsid w:val="00665F77"/>
    <w:rsid w:val="007141C7"/>
    <w:rsid w:val="009A47D8"/>
    <w:rsid w:val="00EE48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404B4E3"/>
  <w15:docId w15:val="{6D9D8E9B-64F5-424B-8865-04DA0D33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for Leather Exports</dc:creator>
  <dc:description/>
  <cp:lastModifiedBy>Council for Leather Exports</cp:lastModifiedBy>
  <cp:revision>2</cp:revision>
  <dcterms:created xsi:type="dcterms:W3CDTF">2025-10-03T08:47:00Z</dcterms:created>
  <dcterms:modified xsi:type="dcterms:W3CDTF">2025-10-03T08:47:00Z</dcterms:modified>
  <dc:language>en-US</dc:language>
</cp:coreProperties>
</file>